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bookmarkStart w:name="Маркировка обуви, шин, воды, духов: учас" w:id="1"/>
      <w:bookmarkEnd w:id="1"/>
      <w:r>
        <w:rPr>
          <w:b w:val="0"/>
        </w:rPr>
      </w:r>
      <w:r>
        <w:rPr/>
        <w:t>Маркировка обуви, шин, воды, духов: участникам</w:t>
      </w:r>
      <w:r>
        <w:rPr>
          <w:spacing w:val="-30"/>
        </w:rPr>
        <w:t> </w:t>
      </w:r>
      <w:r>
        <w:rPr/>
        <w:t>рынка</w:t>
      </w:r>
      <w:r>
        <w:rPr>
          <w:spacing w:val="-29"/>
        </w:rPr>
        <w:t> </w:t>
      </w:r>
      <w:r>
        <w:rPr/>
        <w:t>предстоит</w:t>
      </w:r>
      <w:r>
        <w:rPr>
          <w:spacing w:val="-30"/>
        </w:rPr>
        <w:t> </w:t>
      </w:r>
      <w:r>
        <w:rPr/>
        <w:t>передавать больше сведений</w:t>
      </w:r>
    </w:p>
    <w:p>
      <w:pPr>
        <w:pStyle w:val="BodyText"/>
        <w:spacing w:before="28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1080769</wp:posOffset>
            </wp:positionH>
            <wp:positionV relativeFrom="paragraph">
              <wp:posOffset>179299</wp:posOffset>
            </wp:positionV>
            <wp:extent cx="2670581" cy="1743075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0581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77"/>
        <w:ind w:left="4" w:right="77"/>
      </w:pPr>
      <w:r>
        <w:rPr/>
        <w:t>Производители </w:t>
      </w:r>
      <w:hyperlink r:id="rId6">
        <w:r>
          <w:rPr>
            <w:color w:val="0000FF"/>
            <w:u w:val="single" w:color="0000FF"/>
          </w:rPr>
          <w:t>обуви</w:t>
        </w:r>
      </w:hyperlink>
      <w:r>
        <w:rPr/>
        <w:t>, </w:t>
      </w:r>
      <w:hyperlink r:id="rId7">
        <w:r>
          <w:rPr>
            <w:color w:val="0000FF"/>
            <w:u w:val="single" w:color="0000FF"/>
          </w:rPr>
          <w:t>упакованной воды</w:t>
        </w:r>
      </w:hyperlink>
      <w:r>
        <w:rPr/>
        <w:t>, </w:t>
      </w:r>
      <w:hyperlink r:id="rId8">
        <w:r>
          <w:rPr>
            <w:color w:val="0000FF"/>
            <w:u w:val="single" w:color="0000FF"/>
          </w:rPr>
          <w:t>шин</w:t>
        </w:r>
      </w:hyperlink>
      <w:r>
        <w:rPr>
          <w:color w:val="0000FF"/>
        </w:rPr>
        <w:t> </w:t>
      </w:r>
      <w:r>
        <w:rPr/>
        <w:t>и </w:t>
      </w:r>
      <w:hyperlink r:id="rId9">
        <w:r>
          <w:rPr>
            <w:color w:val="0000FF"/>
            <w:u w:val="single" w:color="0000FF"/>
          </w:rPr>
          <w:t>духов</w:t>
        </w:r>
      </w:hyperlink>
      <w:r>
        <w:rPr>
          <w:color w:val="0000FF"/>
        </w:rPr>
        <w:t> </w:t>
      </w:r>
      <w:r>
        <w:rPr/>
        <w:t>будут направлять в систему </w:t>
      </w:r>
      <w:hyperlink r:id="rId10">
        <w:r>
          <w:rPr>
            <w:color w:val="0000FF"/>
            <w:u w:val="single" w:color="0000FF"/>
          </w:rPr>
          <w:t>"Честный</w:t>
        </w:r>
        <w:r>
          <w:rPr>
            <w:color w:val="0000FF"/>
            <w:spacing w:val="-5"/>
            <w:u w:val="single" w:color="0000FF"/>
          </w:rPr>
          <w:t> </w:t>
        </w:r>
        <w:r>
          <w:rPr>
            <w:color w:val="0000FF"/>
            <w:u w:val="single" w:color="0000FF"/>
          </w:rPr>
          <w:t>знак"</w:t>
        </w:r>
      </w:hyperlink>
      <w:r>
        <w:rPr>
          <w:color w:val="0000FF"/>
          <w:spacing w:val="-4"/>
        </w:rPr>
        <w:t> </w:t>
      </w:r>
      <w:r>
        <w:rPr/>
        <w:t>дополнительную</w:t>
      </w:r>
      <w:r>
        <w:rPr>
          <w:spacing w:val="-4"/>
        </w:rPr>
        <w:t> </w:t>
      </w:r>
      <w:r>
        <w:rPr/>
        <w:t>информацию.</w:t>
      </w:r>
      <w:r>
        <w:rPr>
          <w:spacing w:val="-5"/>
        </w:rPr>
        <w:t> </w:t>
      </w:r>
      <w:r>
        <w:rPr/>
        <w:t>Им</w:t>
      </w:r>
      <w:r>
        <w:rPr>
          <w:spacing w:val="-7"/>
        </w:rPr>
        <w:t> </w:t>
      </w:r>
      <w:r>
        <w:rPr/>
        <w:t>придется</w:t>
      </w:r>
      <w:r>
        <w:rPr>
          <w:spacing w:val="-5"/>
        </w:rPr>
        <w:t> </w:t>
      </w:r>
      <w:r>
        <w:rPr/>
        <w:t>указывать,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частности,</w:t>
      </w:r>
      <w:r>
        <w:rPr>
          <w:spacing w:val="-3"/>
        </w:rPr>
        <w:t> </w:t>
      </w:r>
      <w:r>
        <w:rPr/>
        <w:t>КПП по месту ведения деятельности и глобальный уникальный идентификатор объекта в адресном </w:t>
      </w:r>
      <w:hyperlink r:id="rId11">
        <w:r>
          <w:rPr>
            <w:color w:val="0000FF"/>
            <w:u w:val="single" w:color="0000FF"/>
          </w:rPr>
          <w:t>госреестре</w:t>
        </w:r>
      </w:hyperlink>
      <w:r>
        <w:rPr/>
        <w:t>. Поправки к отраслевым правилам маркировки вступят в силу с начала осени.</w:t>
      </w:r>
    </w:p>
    <w:p>
      <w:pPr>
        <w:pStyle w:val="BodyText"/>
        <w:spacing w:before="4"/>
      </w:pPr>
    </w:p>
    <w:p>
      <w:pPr>
        <w:pStyle w:val="BodyText"/>
        <w:ind w:left="4" w:right="77"/>
      </w:pPr>
      <w:r>
        <w:rPr/>
        <w:t>Те,</w:t>
      </w:r>
      <w:r>
        <w:rPr>
          <w:spacing w:val="-4"/>
        </w:rPr>
        <w:t> </w:t>
      </w:r>
      <w:r>
        <w:rPr/>
        <w:t>кто</w:t>
      </w:r>
      <w:r>
        <w:rPr>
          <w:spacing w:val="-3"/>
        </w:rPr>
        <w:t> </w:t>
      </w:r>
      <w:r>
        <w:rPr/>
        <w:t>уже</w:t>
      </w:r>
      <w:r>
        <w:rPr>
          <w:spacing w:val="-4"/>
        </w:rPr>
        <w:t> </w:t>
      </w:r>
      <w:r>
        <w:rPr/>
        <w:t>работает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системе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приступит</w:t>
      </w:r>
      <w:r>
        <w:rPr>
          <w:spacing w:val="-2"/>
        </w:rPr>
        <w:t> </w:t>
      </w:r>
      <w:r>
        <w:rPr/>
        <w:t>к</w:t>
      </w:r>
      <w:r>
        <w:rPr>
          <w:spacing w:val="-4"/>
        </w:rPr>
        <w:t> </w:t>
      </w:r>
      <w:r>
        <w:rPr/>
        <w:t>этому</w:t>
      </w:r>
      <w:r>
        <w:rPr>
          <w:spacing w:val="-4"/>
        </w:rPr>
        <w:t> </w:t>
      </w:r>
      <w:r>
        <w:rPr/>
        <w:t>до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октября</w:t>
      </w:r>
      <w:r>
        <w:rPr>
          <w:spacing w:val="-3"/>
        </w:rPr>
        <w:t> </w:t>
      </w:r>
      <w:r>
        <w:rPr/>
        <w:t>2025</w:t>
      </w:r>
      <w:r>
        <w:rPr>
          <w:spacing w:val="-4"/>
        </w:rPr>
        <w:t> </w:t>
      </w:r>
      <w:r>
        <w:rPr/>
        <w:t>года,</w:t>
      </w:r>
      <w:r>
        <w:rPr>
          <w:spacing w:val="-3"/>
        </w:rPr>
        <w:t> </w:t>
      </w:r>
      <w:r>
        <w:rPr/>
        <w:t>должны подать сведения к указанной дате, остальные – позже.</w:t>
      </w:r>
    </w:p>
    <w:p>
      <w:pPr>
        <w:pStyle w:val="BodyText"/>
        <w:spacing w:before="4"/>
      </w:pPr>
    </w:p>
    <w:p>
      <w:pPr>
        <w:pStyle w:val="BodyText"/>
        <w:ind w:left="4" w:right="144"/>
      </w:pPr>
      <w:r>
        <w:rPr/>
        <w:t>С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сентября</w:t>
      </w:r>
      <w:r>
        <w:rPr>
          <w:spacing w:val="-3"/>
        </w:rPr>
        <w:t> </w:t>
      </w:r>
      <w:r>
        <w:rPr/>
        <w:t>2025</w:t>
      </w:r>
      <w:r>
        <w:rPr>
          <w:spacing w:val="-4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появятся</w:t>
      </w:r>
      <w:r>
        <w:rPr>
          <w:spacing w:val="-3"/>
        </w:rPr>
        <w:t> </w:t>
      </w:r>
      <w:r>
        <w:rPr/>
        <w:t>новые</w:t>
      </w:r>
      <w:r>
        <w:rPr>
          <w:spacing w:val="-5"/>
        </w:rPr>
        <w:t> </w:t>
      </w:r>
      <w:r>
        <w:rPr/>
        <w:t>основания,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которым</w:t>
      </w:r>
      <w:r>
        <w:rPr>
          <w:spacing w:val="-3"/>
        </w:rPr>
        <w:t> </w:t>
      </w:r>
      <w:r>
        <w:rPr/>
        <w:t>информацию</w:t>
      </w:r>
      <w:r>
        <w:rPr>
          <w:spacing w:val="-4"/>
        </w:rPr>
        <w:t> </w:t>
      </w:r>
      <w:r>
        <w:rPr/>
        <w:t>о</w:t>
      </w:r>
      <w:r>
        <w:rPr>
          <w:spacing w:val="-4"/>
        </w:rPr>
        <w:t> </w:t>
      </w:r>
      <w:r>
        <w:rPr/>
        <w:t>продукции могут не внести в систему. Среди них такие: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724" w:val="left" w:leader="none"/>
        </w:tabs>
        <w:spacing w:line="240" w:lineRule="auto" w:before="0" w:after="0"/>
        <w:ind w:left="724" w:right="415" w:hanging="360"/>
        <w:jc w:val="left"/>
        <w:rPr>
          <w:sz w:val="24"/>
        </w:rPr>
      </w:pPr>
      <w:r>
        <w:rPr>
          <w:sz w:val="24"/>
        </w:rPr>
        <w:t>разрешительные</w:t>
      </w:r>
      <w:r>
        <w:rPr>
          <w:spacing w:val="-6"/>
          <w:sz w:val="24"/>
        </w:rPr>
        <w:t> </w:t>
      </w:r>
      <w:r>
        <w:rPr>
          <w:sz w:val="24"/>
        </w:rPr>
        <w:t>документы,</w:t>
      </w:r>
      <w:r>
        <w:rPr>
          <w:spacing w:val="-6"/>
          <w:sz w:val="24"/>
        </w:rPr>
        <w:t> </w:t>
      </w:r>
      <w:r>
        <w:rPr>
          <w:sz w:val="24"/>
        </w:rPr>
        <w:t>которые</w:t>
      </w:r>
      <w:r>
        <w:rPr>
          <w:spacing w:val="-8"/>
          <w:sz w:val="24"/>
        </w:rPr>
        <w:t> </w:t>
      </w:r>
      <w:r>
        <w:rPr>
          <w:sz w:val="24"/>
        </w:rPr>
        <w:t>участник</w:t>
      </w:r>
      <w:r>
        <w:rPr>
          <w:spacing w:val="-4"/>
          <w:sz w:val="24"/>
        </w:rPr>
        <w:t> </w:t>
      </w:r>
      <w:r>
        <w:rPr>
          <w:sz w:val="24"/>
        </w:rPr>
        <w:t>оборота</w:t>
      </w:r>
      <w:r>
        <w:rPr>
          <w:spacing w:val="-8"/>
          <w:sz w:val="24"/>
        </w:rPr>
        <w:t> </w:t>
      </w:r>
      <w:r>
        <w:rPr>
          <w:sz w:val="24"/>
        </w:rPr>
        <w:t>указал</w:t>
      </w:r>
      <w:r>
        <w:rPr>
          <w:spacing w:val="-6"/>
          <w:sz w:val="24"/>
        </w:rPr>
        <w:t> </w:t>
      </w:r>
      <w:r>
        <w:rPr>
          <w:sz w:val="24"/>
        </w:rPr>
        <w:t>при</w:t>
      </w:r>
      <w:r>
        <w:rPr>
          <w:spacing w:val="-6"/>
          <w:sz w:val="24"/>
        </w:rPr>
        <w:t> </w:t>
      </w:r>
      <w:r>
        <w:rPr>
          <w:sz w:val="24"/>
        </w:rPr>
        <w:t>регистрации товара, отсутствуют в реестре сертификатов соответствия и деклараций;</w:t>
      </w:r>
    </w:p>
    <w:p>
      <w:pPr>
        <w:pStyle w:val="ListParagraph"/>
        <w:numPr>
          <w:ilvl w:val="0"/>
          <w:numId w:val="1"/>
        </w:numPr>
        <w:tabs>
          <w:tab w:pos="723" w:val="left" w:leader="none"/>
        </w:tabs>
        <w:spacing w:line="240" w:lineRule="auto" w:before="0" w:after="0"/>
        <w:ind w:left="723" w:right="0" w:hanging="359"/>
        <w:jc w:val="left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реестре</w:t>
      </w:r>
      <w:r>
        <w:rPr>
          <w:spacing w:val="-1"/>
          <w:sz w:val="24"/>
        </w:rPr>
        <w:t> </w:t>
      </w:r>
      <w:r>
        <w:rPr>
          <w:sz w:val="24"/>
        </w:rPr>
        <w:t>есть</w:t>
      </w:r>
      <w:r>
        <w:rPr>
          <w:spacing w:val="-3"/>
          <w:sz w:val="24"/>
        </w:rPr>
        <w:t> </w:t>
      </w:r>
      <w:r>
        <w:rPr>
          <w:sz w:val="24"/>
        </w:rPr>
        <w:t>сведения,</w:t>
      </w:r>
      <w:r>
        <w:rPr>
          <w:spacing w:val="-2"/>
          <w:sz w:val="24"/>
        </w:rPr>
        <w:t> </w:t>
      </w:r>
      <w:r>
        <w:rPr>
          <w:sz w:val="24"/>
        </w:rPr>
        <w:t>что</w:t>
      </w:r>
      <w:r>
        <w:rPr>
          <w:spacing w:val="-4"/>
          <w:sz w:val="24"/>
        </w:rPr>
        <w:t> </w:t>
      </w:r>
      <w:r>
        <w:rPr>
          <w:sz w:val="24"/>
        </w:rPr>
        <w:t>такие</w:t>
      </w:r>
      <w:r>
        <w:rPr>
          <w:spacing w:val="-2"/>
          <w:sz w:val="24"/>
        </w:rPr>
        <w:t> </w:t>
      </w:r>
      <w:r>
        <w:rPr>
          <w:sz w:val="24"/>
        </w:rPr>
        <w:t>документы</w:t>
      </w:r>
      <w:r>
        <w:rPr>
          <w:spacing w:val="-2"/>
          <w:sz w:val="24"/>
        </w:rPr>
        <w:t> недействительны;</w:t>
      </w:r>
    </w:p>
    <w:p>
      <w:pPr>
        <w:pStyle w:val="ListParagraph"/>
        <w:numPr>
          <w:ilvl w:val="0"/>
          <w:numId w:val="1"/>
        </w:numPr>
        <w:tabs>
          <w:tab w:pos="724" w:val="left" w:leader="none"/>
        </w:tabs>
        <w:spacing w:line="240" w:lineRule="auto" w:before="0" w:after="0"/>
        <w:ind w:left="724" w:right="166" w:hanging="360"/>
        <w:jc w:val="left"/>
        <w:rPr>
          <w:sz w:val="24"/>
        </w:rPr>
      </w:pPr>
      <w:r>
        <w:rPr>
          <w:sz w:val="24"/>
        </w:rPr>
        <w:t>данные</w:t>
      </w:r>
      <w:r>
        <w:rPr>
          <w:spacing w:val="-4"/>
          <w:sz w:val="24"/>
        </w:rPr>
        <w:t> </w:t>
      </w:r>
      <w:r>
        <w:rPr>
          <w:sz w:val="24"/>
        </w:rPr>
        <w:t>из</w:t>
      </w:r>
      <w:r>
        <w:rPr>
          <w:spacing w:val="-6"/>
          <w:sz w:val="24"/>
        </w:rPr>
        <w:t> </w:t>
      </w:r>
      <w:r>
        <w:rPr>
          <w:sz w:val="24"/>
        </w:rPr>
        <w:t>разрешительных</w:t>
      </w:r>
      <w:r>
        <w:rPr>
          <w:spacing w:val="-4"/>
          <w:sz w:val="24"/>
        </w:rPr>
        <w:t> </w:t>
      </w:r>
      <w:r>
        <w:rPr>
          <w:sz w:val="24"/>
        </w:rPr>
        <w:t>документов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данные</w:t>
      </w:r>
      <w:r>
        <w:rPr>
          <w:spacing w:val="-4"/>
          <w:sz w:val="24"/>
        </w:rPr>
        <w:t> </w:t>
      </w:r>
      <w:r>
        <w:rPr>
          <w:sz w:val="24"/>
        </w:rPr>
        <w:t>о</w:t>
      </w:r>
      <w:r>
        <w:rPr>
          <w:spacing w:val="-5"/>
          <w:sz w:val="24"/>
        </w:rPr>
        <w:t> </w:t>
      </w:r>
      <w:r>
        <w:rPr>
          <w:sz w:val="24"/>
        </w:rPr>
        <w:t>них,</w:t>
      </w:r>
      <w:r>
        <w:rPr>
          <w:spacing w:val="-5"/>
          <w:sz w:val="24"/>
        </w:rPr>
        <w:t> </w:t>
      </w:r>
      <w:r>
        <w:rPr>
          <w:sz w:val="24"/>
        </w:rPr>
        <w:t>которые</w:t>
      </w:r>
      <w:r>
        <w:rPr>
          <w:spacing w:val="-4"/>
          <w:sz w:val="24"/>
        </w:rPr>
        <w:t> </w:t>
      </w:r>
      <w:r>
        <w:rPr>
          <w:sz w:val="24"/>
        </w:rPr>
        <w:t>перечислили</w:t>
      </w:r>
      <w:r>
        <w:rPr>
          <w:spacing w:val="-4"/>
          <w:sz w:val="24"/>
        </w:rPr>
        <w:t> </w:t>
      </w:r>
      <w:r>
        <w:rPr>
          <w:sz w:val="24"/>
        </w:rPr>
        <w:t>при регистрации, не совпадают.</w:t>
      </w:r>
    </w:p>
    <w:p>
      <w:pPr>
        <w:pStyle w:val="BodyText"/>
        <w:spacing w:before="4"/>
      </w:pPr>
    </w:p>
    <w:p>
      <w:pPr>
        <w:pStyle w:val="BodyText"/>
        <w:ind w:left="4" w:right="77"/>
      </w:pPr>
      <w:r>
        <w:rPr/>
        <w:t>С 13 января 2026 года оператор системы начнет отказывать в регистрации товаров, например,</w:t>
      </w:r>
      <w:r>
        <w:rPr>
          <w:spacing w:val="-5"/>
        </w:rPr>
        <w:t> </w:t>
      </w:r>
      <w:r>
        <w:rPr/>
        <w:t>если</w:t>
      </w:r>
      <w:r>
        <w:rPr>
          <w:spacing w:val="-5"/>
        </w:rPr>
        <w:t> </w:t>
      </w:r>
      <w:r>
        <w:rPr/>
        <w:t>производитель</w:t>
      </w:r>
      <w:r>
        <w:rPr>
          <w:spacing w:val="-4"/>
        </w:rPr>
        <w:t> </w:t>
      </w:r>
      <w:r>
        <w:rPr/>
        <w:t>или</w:t>
      </w:r>
      <w:r>
        <w:rPr>
          <w:spacing w:val="-7"/>
        </w:rPr>
        <w:t> </w:t>
      </w:r>
      <w:r>
        <w:rPr/>
        <w:t>импортер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направит</w:t>
      </w:r>
      <w:r>
        <w:rPr>
          <w:spacing w:val="-6"/>
        </w:rPr>
        <w:t> </w:t>
      </w:r>
      <w:r>
        <w:rPr/>
        <w:t>сведения</w:t>
      </w:r>
      <w:r>
        <w:rPr>
          <w:spacing w:val="-5"/>
        </w:rPr>
        <w:t> </w:t>
      </w:r>
      <w:r>
        <w:rPr/>
        <w:t>о</w:t>
      </w:r>
      <w:r>
        <w:rPr>
          <w:spacing w:val="-6"/>
        </w:rPr>
        <w:t> </w:t>
      </w:r>
      <w:r>
        <w:rPr/>
        <w:t>разрешительных </w:t>
      </w:r>
      <w:r>
        <w:rPr>
          <w:spacing w:val="-2"/>
        </w:rPr>
        <w:t>документах.</w:t>
      </w:r>
    </w:p>
    <w:p>
      <w:pPr>
        <w:pStyle w:val="BodyText"/>
        <w:spacing w:before="4"/>
      </w:pPr>
    </w:p>
    <w:p>
      <w:pPr>
        <w:pStyle w:val="BodyText"/>
        <w:ind w:left="4" w:right="77"/>
      </w:pPr>
      <w:r>
        <w:rPr/>
        <w:t>Изменения</w:t>
      </w:r>
      <w:r>
        <w:rPr>
          <w:spacing w:val="-5"/>
        </w:rPr>
        <w:t> </w:t>
      </w:r>
      <w:r>
        <w:rPr/>
        <w:t>приняли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итогам</w:t>
      </w:r>
      <w:r>
        <w:rPr>
          <w:spacing w:val="-2"/>
        </w:rPr>
        <w:t> </w:t>
      </w:r>
      <w:hyperlink r:id="rId12">
        <w:r>
          <w:rPr>
            <w:color w:val="0000FF"/>
            <w:u w:val="single" w:color="0000FF"/>
          </w:rPr>
          <w:t>эксперимента</w:t>
        </w:r>
      </w:hyperlink>
      <w:r>
        <w:rPr/>
        <w:t>,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рамках</w:t>
      </w:r>
      <w:r>
        <w:rPr>
          <w:spacing w:val="-5"/>
        </w:rPr>
        <w:t> </w:t>
      </w:r>
      <w:r>
        <w:rPr/>
        <w:t>которого</w:t>
      </w:r>
      <w:r>
        <w:rPr>
          <w:spacing w:val="-5"/>
        </w:rPr>
        <w:t> </w:t>
      </w:r>
      <w:r>
        <w:rPr/>
        <w:t>систему</w:t>
      </w:r>
      <w:r>
        <w:rPr>
          <w:spacing w:val="-3"/>
        </w:rPr>
        <w:t> </w:t>
      </w:r>
      <w:r>
        <w:rPr/>
        <w:t>маркировки использовали, чтобы оценить, как участники оборота соблюдают требования безопасности к продукции.</w:t>
      </w:r>
    </w:p>
    <w:sectPr>
      <w:type w:val="continuous"/>
      <w:pgSz w:w="11910" w:h="16840"/>
      <w:pgMar w:top="1060" w:bottom="280" w:left="170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724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4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0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5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2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56"/>
      <w:ind w:left="4" w:right="77"/>
    </w:pPr>
    <w:rPr>
      <w:rFonts w:ascii="Times New Roman" w:hAnsi="Times New Roman" w:eastAsia="Times New Roman" w:cs="Times New Roman"/>
      <w:b/>
      <w:bCs/>
      <w:sz w:val="48"/>
      <w:szCs w:val="4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724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cloud.consultant.ru/cloud/cgi/online.cgi?req=doc&amp;rnd=181ba3c8d2a2932b822cdf778514b5c7&amp;base=LAW&amp;n=506955&amp;dst=100019" TargetMode="External"/><Relationship Id="rId7" Type="http://schemas.openxmlformats.org/officeDocument/2006/relationships/hyperlink" Target="https://cloud.consultant.ru/cloud/cgi/online.cgi?req=doc&amp;rnd=181ba3c8d2a2932b822cdf778514b5c7&amp;base=LAW&amp;n=506955&amp;dst=100192" TargetMode="External"/><Relationship Id="rId8" Type="http://schemas.openxmlformats.org/officeDocument/2006/relationships/hyperlink" Target="https://cloud.consultant.ru/cloud/cgi/online.cgi?req=doc&amp;rnd=181ba3c8d2a2932b822cdf778514b5c7&amp;base=LAW&amp;n=506955&amp;dst=100134" TargetMode="External"/><Relationship Id="rId9" Type="http://schemas.openxmlformats.org/officeDocument/2006/relationships/hyperlink" Target="https://cloud.consultant.ru/cloud/cgi/online.cgi?req=doc&amp;rnd=181ba3c8d2a2932b822cdf778514b5c7&amp;base=LAW&amp;n=506955&amp;dst=100077" TargetMode="External"/><Relationship Id="rId10" Type="http://schemas.openxmlformats.org/officeDocument/2006/relationships/hyperlink" Target="https://xn--80ajghhoc2aj1c8b.xn--p1ai/" TargetMode="External"/><Relationship Id="rId11" Type="http://schemas.openxmlformats.org/officeDocument/2006/relationships/hyperlink" Target="https://fias.nalog.ru/" TargetMode="External"/><Relationship Id="rId12" Type="http://schemas.openxmlformats.org/officeDocument/2006/relationships/hyperlink" Target="https://cloud.consultant.ru/cloud/cgi/online.cgi?req=doc&amp;rnd=181ba3c8d2a2932b822cdf778514b5c7&amp;base=LAW&amp;n=455058&amp;dst=100005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dcterms:created xsi:type="dcterms:W3CDTF">2025-06-23T03:43:23Z</dcterms:created>
  <dcterms:modified xsi:type="dcterms:W3CDTF">2025-06-23T03:43:23Z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7.2</vt:lpwstr>
  </property>
  <property fmtid="{D5CDD505-2E9C-101B-9397-08002B2CF9AE}" pid="5" name="LastSaved">
    <vt:filetime>2025-06-23T00:00:00Z</vt:filetime>
  </property>
</Properties>
</file>