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Итоги «горячей линии» по вопросам защиты" w:id="1"/>
      <w:bookmarkEnd w:id="1"/>
      <w:r>
        <w:rPr>
          <w:b w:val="0"/>
        </w:rPr>
      </w:r>
      <w:r>
        <w:rPr/>
        <w:t>Итоги «горячей линии» по вопросам защиты прав потребителей туристских услуг</w:t>
      </w:r>
    </w:p>
    <w:p>
      <w:pPr>
        <w:pStyle w:val="BodyText"/>
        <w:spacing w:before="322"/>
        <w:ind w:right="144"/>
      </w:pPr>
      <w:r>
        <w:rPr/>
        <w:t>За период с 26 мая</w:t>
      </w:r>
      <w:r>
        <w:rPr>
          <w:spacing w:val="40"/>
        </w:rPr>
        <w:t> </w:t>
      </w:r>
      <w:r>
        <w:rPr/>
        <w:t>по 06 июня 2025 года при проведении «горячей линии» специалистами Управления и ФБУЗ «Центр гигиены и эпидемиологии по Новосибирской области» в консультационных центрах гражданам оказаны консультации по вопросам защиты прав потребителей туристских услуг.</w:t>
      </w:r>
    </w:p>
    <w:p>
      <w:pPr>
        <w:pStyle w:val="BodyText"/>
        <w:ind w:left="711" w:firstLine="0"/>
      </w:pPr>
      <w:r>
        <w:rPr>
          <w:u w:val="single"/>
        </w:rPr>
        <w:t>Общее</w:t>
      </w:r>
      <w:r>
        <w:rPr>
          <w:spacing w:val="-5"/>
          <w:u w:val="single"/>
        </w:rPr>
        <w:t> </w:t>
      </w:r>
      <w:r>
        <w:rPr>
          <w:u w:val="single"/>
        </w:rPr>
        <w:t>количество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консультаций:</w:t>
      </w: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40" w:lineRule="auto" w:before="0" w:after="0"/>
        <w:ind w:left="944" w:right="0" w:hanging="163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телефонам</w:t>
      </w:r>
      <w:r>
        <w:rPr>
          <w:spacing w:val="-3"/>
          <w:sz w:val="28"/>
        </w:rPr>
        <w:t> </w:t>
      </w:r>
      <w:r>
        <w:rPr>
          <w:sz w:val="28"/>
        </w:rPr>
        <w:t>«горячей</w:t>
      </w:r>
      <w:r>
        <w:rPr>
          <w:spacing w:val="-2"/>
          <w:sz w:val="28"/>
        </w:rPr>
        <w:t> </w:t>
      </w:r>
      <w:r>
        <w:rPr>
          <w:sz w:val="28"/>
        </w:rPr>
        <w:t>линии»</w:t>
      </w:r>
      <w:r>
        <w:rPr>
          <w:spacing w:val="66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56.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40" w:lineRule="auto" w:before="0" w:after="0"/>
        <w:ind w:left="1014" w:right="0" w:hanging="233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-7"/>
          <w:sz w:val="28"/>
        </w:rPr>
        <w:t> </w:t>
      </w:r>
      <w:r>
        <w:rPr>
          <w:sz w:val="28"/>
        </w:rPr>
        <w:t>обращения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7.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962" w:right="0" w:hanging="181"/>
        <w:jc w:val="both"/>
        <w:rPr>
          <w:sz w:val="28"/>
        </w:rPr>
      </w:pPr>
      <w:r>
        <w:rPr>
          <w:sz w:val="28"/>
        </w:rPr>
        <w:t>обращения,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которым</w:t>
      </w:r>
      <w:r>
        <w:rPr>
          <w:spacing w:val="14"/>
          <w:sz w:val="28"/>
        </w:rPr>
        <w:t> </w:t>
      </w:r>
      <w:r>
        <w:rPr>
          <w:sz w:val="28"/>
        </w:rPr>
        <w:t>консультации</w:t>
      </w:r>
      <w:r>
        <w:rPr>
          <w:spacing w:val="13"/>
          <w:sz w:val="28"/>
        </w:rPr>
        <w:t> </w:t>
      </w:r>
      <w:r>
        <w:rPr>
          <w:sz w:val="28"/>
        </w:rPr>
        <w:t>оказаны</w:t>
      </w:r>
      <w:r>
        <w:rPr>
          <w:spacing w:val="14"/>
          <w:sz w:val="28"/>
        </w:rPr>
        <w:t> </w:t>
      </w:r>
      <w:r>
        <w:rPr>
          <w:sz w:val="28"/>
        </w:rPr>
        <w:t>при</w:t>
      </w:r>
      <w:r>
        <w:rPr>
          <w:spacing w:val="13"/>
          <w:sz w:val="28"/>
        </w:rPr>
        <w:t> </w:t>
      </w:r>
      <w:r>
        <w:rPr>
          <w:sz w:val="28"/>
        </w:rPr>
        <w:t>личном</w:t>
      </w:r>
      <w:r>
        <w:rPr>
          <w:spacing w:val="14"/>
          <w:sz w:val="28"/>
        </w:rPr>
        <w:t> </w:t>
      </w:r>
      <w:r>
        <w:rPr>
          <w:sz w:val="28"/>
        </w:rPr>
        <w:t>приеме</w:t>
      </w:r>
      <w:r>
        <w:rPr>
          <w:spacing w:val="13"/>
          <w:sz w:val="28"/>
        </w:rPr>
        <w:t> </w:t>
      </w:r>
      <w:r>
        <w:rPr>
          <w:spacing w:val="-10"/>
          <w:sz w:val="28"/>
        </w:rPr>
        <w:t>–</w:t>
      </w:r>
    </w:p>
    <w:p>
      <w:pPr>
        <w:pStyle w:val="BodyText"/>
        <w:ind w:firstLine="0"/>
        <w:jc w:val="left"/>
      </w:pPr>
      <w:r>
        <w:rPr>
          <w:spacing w:val="-5"/>
        </w:rPr>
        <w:t>4.</w:t>
      </w:r>
    </w:p>
    <w:p>
      <w:pPr>
        <w:pStyle w:val="BodyText"/>
        <w:ind w:left="711" w:firstLine="0"/>
        <w:jc w:val="left"/>
      </w:pPr>
      <w:r>
        <w:rPr>
          <w:u w:val="single"/>
        </w:rPr>
        <w:t>В</w:t>
      </w:r>
      <w:r>
        <w:rPr>
          <w:spacing w:val="33"/>
          <w:u w:val="single"/>
        </w:rPr>
        <w:t> </w:t>
      </w:r>
      <w:r>
        <w:rPr>
          <w:u w:val="single"/>
        </w:rPr>
        <w:t>ходе</w:t>
      </w:r>
      <w:r>
        <w:rPr>
          <w:spacing w:val="34"/>
          <w:u w:val="single"/>
        </w:rPr>
        <w:t> </w:t>
      </w:r>
      <w:r>
        <w:rPr>
          <w:u w:val="single"/>
        </w:rPr>
        <w:t>проведенных</w:t>
      </w:r>
      <w:r>
        <w:rPr>
          <w:spacing w:val="37"/>
          <w:u w:val="single"/>
        </w:rPr>
        <w:t> </w:t>
      </w:r>
      <w:r>
        <w:rPr>
          <w:u w:val="single"/>
        </w:rPr>
        <w:t>консультаций</w:t>
      </w:r>
      <w:r>
        <w:rPr>
          <w:spacing w:val="34"/>
          <w:u w:val="single"/>
        </w:rPr>
        <w:t> </w:t>
      </w:r>
      <w:r>
        <w:rPr>
          <w:u w:val="single"/>
        </w:rPr>
        <w:t>граждане</w:t>
      </w:r>
      <w:r>
        <w:rPr>
          <w:spacing w:val="36"/>
          <w:u w:val="single"/>
        </w:rPr>
        <w:t> </w:t>
      </w:r>
      <w:r>
        <w:rPr>
          <w:u w:val="single"/>
        </w:rPr>
        <w:t>наиболее</w:t>
      </w:r>
      <w:r>
        <w:rPr>
          <w:spacing w:val="36"/>
          <w:u w:val="single"/>
        </w:rPr>
        <w:t> </w:t>
      </w:r>
      <w:r>
        <w:rPr>
          <w:u w:val="single"/>
        </w:rPr>
        <w:t>часто</w:t>
      </w:r>
      <w:r>
        <w:rPr>
          <w:spacing w:val="37"/>
          <w:u w:val="single"/>
        </w:rPr>
        <w:t> </w:t>
      </w:r>
      <w:r>
        <w:rPr>
          <w:spacing w:val="-2"/>
          <w:u w:val="single"/>
        </w:rPr>
        <w:t>задавали</w:t>
      </w:r>
    </w:p>
    <w:p>
      <w:pPr>
        <w:pStyle w:val="BodyText"/>
        <w:ind w:firstLine="0"/>
        <w:jc w:val="left"/>
      </w:pPr>
      <w:r>
        <w:rPr>
          <w:u w:val="single"/>
        </w:rPr>
        <w:t>следующие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вопросы: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0" w:after="0"/>
        <w:ind w:left="4" w:right="143" w:firstLine="708"/>
        <w:jc w:val="left"/>
        <w:rPr>
          <w:sz w:val="28"/>
        </w:rPr>
      </w:pPr>
      <w:r>
        <w:rPr>
          <w:sz w:val="28"/>
        </w:rPr>
        <w:t>о</w:t>
      </w:r>
      <w:r>
        <w:rPr>
          <w:spacing w:val="38"/>
          <w:sz w:val="28"/>
        </w:rPr>
        <w:t> </w:t>
      </w:r>
      <w:r>
        <w:rPr>
          <w:sz w:val="28"/>
        </w:rPr>
        <w:t>включение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договор,</w:t>
      </w:r>
      <w:r>
        <w:rPr>
          <w:spacing w:val="40"/>
          <w:sz w:val="28"/>
        </w:rPr>
        <w:t> </w:t>
      </w:r>
      <w:r>
        <w:rPr>
          <w:sz w:val="28"/>
        </w:rPr>
        <w:t>об</w:t>
      </w:r>
      <w:r>
        <w:rPr>
          <w:spacing w:val="38"/>
          <w:sz w:val="28"/>
        </w:rPr>
        <w:t> </w:t>
      </w:r>
      <w:r>
        <w:rPr>
          <w:sz w:val="28"/>
        </w:rPr>
        <w:t>оказании</w:t>
      </w:r>
      <w:r>
        <w:rPr>
          <w:spacing w:val="40"/>
          <w:sz w:val="28"/>
        </w:rPr>
        <w:t> </w:t>
      </w:r>
      <w:r>
        <w:rPr>
          <w:sz w:val="28"/>
        </w:rPr>
        <w:t>туристских</w:t>
      </w:r>
      <w:r>
        <w:rPr>
          <w:spacing w:val="40"/>
          <w:sz w:val="28"/>
        </w:rPr>
        <w:t> </w:t>
      </w:r>
      <w:r>
        <w:rPr>
          <w:sz w:val="28"/>
        </w:rPr>
        <w:t>услуг</w:t>
      </w:r>
      <w:r>
        <w:rPr>
          <w:spacing w:val="39"/>
          <w:sz w:val="28"/>
        </w:rPr>
        <w:t> </w:t>
      </w:r>
      <w:r>
        <w:rPr>
          <w:sz w:val="28"/>
        </w:rPr>
        <w:t>условий, ущемляющих права потребителей,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0" w:after="0"/>
        <w:ind w:left="4" w:right="151" w:firstLine="708"/>
        <w:jc w:val="left"/>
        <w:rPr>
          <w:sz w:val="28"/>
        </w:rPr>
      </w:pPr>
      <w:r>
        <w:rPr>
          <w:sz w:val="28"/>
        </w:rPr>
        <w:t>о включение в договор страхования условий, ущемляющих права </w:t>
      </w:r>
      <w:r>
        <w:rPr>
          <w:spacing w:val="-2"/>
          <w:sz w:val="28"/>
        </w:rPr>
        <w:t>потребителей,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0" w:after="0"/>
        <w:ind w:left="1419" w:right="0" w:hanging="708"/>
        <w:jc w:val="left"/>
        <w:rPr>
          <w:sz w:val="28"/>
        </w:rPr>
      </w:pPr>
      <w:r>
        <w:rPr>
          <w:sz w:val="28"/>
        </w:rPr>
        <w:t>навязывание</w:t>
      </w:r>
      <w:r>
        <w:rPr>
          <w:spacing w:val="-6"/>
          <w:sz w:val="28"/>
        </w:rPr>
        <w:t> </w:t>
      </w:r>
      <w:r>
        <w:rPr>
          <w:sz w:val="28"/>
        </w:rPr>
        <w:t>дополнительных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услуг,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0" w:after="0"/>
        <w:ind w:left="1419" w:right="0" w:hanging="708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-6"/>
          <w:sz w:val="28"/>
        </w:rPr>
        <w:t> </w:t>
      </w:r>
      <w:r>
        <w:rPr>
          <w:sz w:val="28"/>
        </w:rPr>
        <w:t>прав</w:t>
      </w:r>
      <w:r>
        <w:rPr>
          <w:spacing w:val="-6"/>
          <w:sz w:val="28"/>
        </w:rPr>
        <w:t> </w:t>
      </w:r>
      <w:r>
        <w:rPr>
          <w:sz w:val="28"/>
        </w:rPr>
        <w:t>потребителей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оказании</w:t>
      </w:r>
      <w:r>
        <w:rPr>
          <w:spacing w:val="-6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авиаперевозки.</w:t>
      </w:r>
    </w:p>
    <w:p>
      <w:pPr>
        <w:pStyle w:val="BodyText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1531619</wp:posOffset>
                </wp:positionH>
                <wp:positionV relativeFrom="paragraph">
                  <wp:posOffset>181461</wp:posOffset>
                </wp:positionV>
                <wp:extent cx="548767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0">
                              <a:moveTo>
                                <a:pt x="0" y="0"/>
                              </a:moveTo>
                              <a:lnTo>
                                <a:pt x="54876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120.599998pt,14.288343pt" to="552.699998pt,14.288343pt" stroked="true" strokeweight=".8pt" strokecolor="#000000">
                <v:stroke dashstyle="solid"/>
                <w10:wrap type="none"/>
              </v:line>
            </w:pict>
          </mc:Fallback>
        </mc:AlternateContent>
      </w:r>
      <w:r>
        <w:rPr/>
        <w:t>Всем обратившимся были даны консультации в рамках </w:t>
      </w:r>
      <w:r>
        <w:rPr>
          <w:spacing w:val="-2"/>
          <w:u w:val="single"/>
        </w:rPr>
        <w:t>законодательства.</w:t>
      </w:r>
    </w:p>
    <w:p>
      <w:pPr>
        <w:pStyle w:val="BodyText"/>
        <w:ind w:right="145"/>
      </w:pPr>
      <w:r>
        <w:rPr/>
        <w:t>В рамках горячей линии распространены памятки о правах потребителей туристских услуг в количестве 311 штук.</w:t>
      </w:r>
    </w:p>
    <w:p>
      <w:pPr>
        <w:pStyle w:val="BodyText"/>
        <w:ind w:right="141"/>
      </w:pPr>
      <w:r>
        <w:rPr/>
        <w:t>Напоминаем, что телефон «горячей линии» Управления работает в будние дни. Звонок по телефону 8-800-350-5060</w:t>
      </w:r>
      <w:r>
        <w:rPr>
          <w:spacing w:val="-2"/>
        </w:rPr>
        <w:t> </w:t>
      </w:r>
      <w:r>
        <w:rPr/>
        <w:t>бесплатный из любого населенного пункта страны.</w:t>
      </w:r>
    </w:p>
    <w:p>
      <w:pPr>
        <w:pStyle w:val="BodyText"/>
        <w:ind w:right="139"/>
      </w:pPr>
      <w:r>
        <w:rPr/>
        <w:t>По телефону «горячей линии» (8-800-350-5060)</w:t>
      </w:r>
      <w:r>
        <w:rPr>
          <w:spacing w:val="-2"/>
        </w:rPr>
        <w:t> </w:t>
      </w:r>
      <w:r>
        <w:rPr/>
        <w:t>вы можете задать любой интересующий Вас вопрос, касающийся профилактики клещевого </w:t>
      </w:r>
      <w:r>
        <w:rPr>
          <w:spacing w:val="-2"/>
        </w:rPr>
        <w:t>энцефалита.</w:t>
      </w:r>
    </w:p>
    <w:sectPr>
      <w:type w:val="continuous"/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4" w:hanging="70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4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4" w:right="149" w:firstLine="708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" w:hanging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terms:created xsi:type="dcterms:W3CDTF">2025-06-23T03:42:01Z</dcterms:created>
  <dcterms:modified xsi:type="dcterms:W3CDTF">2025-06-23T03:42:01Z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2025-06-23T00:00:00Z</vt:filetime>
  </property>
</Properties>
</file>