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E0" w:rsidRDefault="007A4EE0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5929B3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7A4EE0">
        <w:rPr>
          <w:b/>
          <w:bCs/>
        </w:rPr>
        <w:t xml:space="preserve">                                                 </w:t>
      </w:r>
    </w:p>
    <w:p w:rsidR="00B160E6" w:rsidRPr="00C67AFD" w:rsidRDefault="00B160E6" w:rsidP="00B160E6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DF0089" w:rsidRDefault="0025082F" w:rsidP="00711B84">
      <w:pPr>
        <w:pStyle w:val="af7"/>
        <w:ind w:firstLine="567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Свыше 247 миллионов рублей </w:t>
      </w:r>
      <w:r w:rsidRPr="0025082F">
        <w:rPr>
          <w:b/>
          <w:sz w:val="26"/>
          <w:szCs w:val="26"/>
          <w:lang w:eastAsia="ru-RU"/>
        </w:rPr>
        <w:t>направлено медицинским организациям</w:t>
      </w:r>
      <w:r>
        <w:rPr>
          <w:b/>
          <w:sz w:val="26"/>
          <w:szCs w:val="26"/>
          <w:lang w:eastAsia="ru-RU"/>
        </w:rPr>
        <w:t xml:space="preserve"> Новосибирской области </w:t>
      </w:r>
      <w:r w:rsidRPr="0025082F">
        <w:rPr>
          <w:b/>
          <w:sz w:val="26"/>
          <w:szCs w:val="26"/>
          <w:lang w:eastAsia="ru-RU"/>
        </w:rPr>
        <w:t>за услуги в рамках электронного родового сертификата в 2022 году</w:t>
      </w:r>
    </w:p>
    <w:p w:rsidR="00C70949" w:rsidRPr="00DF0089" w:rsidRDefault="00C70949" w:rsidP="00711B84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Более 247 млн</w:t>
      </w:r>
      <w:r>
        <w:rPr>
          <w:sz w:val="26"/>
          <w:szCs w:val="26"/>
        </w:rPr>
        <w:t>.</w:t>
      </w:r>
      <w:r w:rsidRPr="0025082F">
        <w:rPr>
          <w:sz w:val="26"/>
          <w:szCs w:val="26"/>
        </w:rPr>
        <w:t xml:space="preserve"> рублей направлено в 2022 году медицинским организациям Новосибирской области в рамках федеральной программы родовых сертификатов.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Около 76,5 млн</w:t>
      </w:r>
      <w:r>
        <w:rPr>
          <w:sz w:val="26"/>
          <w:szCs w:val="26"/>
        </w:rPr>
        <w:t>.</w:t>
      </w:r>
      <w:r w:rsidRPr="0025082F">
        <w:rPr>
          <w:sz w:val="26"/>
          <w:szCs w:val="26"/>
        </w:rPr>
        <w:t xml:space="preserve"> рублей из этой суммы перечислено женским консультациям, где медицинскую помощь по наблюдению беременности получили </w:t>
      </w:r>
      <w:r w:rsidR="007E5679">
        <w:rPr>
          <w:sz w:val="26"/>
          <w:szCs w:val="26"/>
        </w:rPr>
        <w:t xml:space="preserve">свыше </w:t>
      </w:r>
      <w:r w:rsidRPr="0025082F">
        <w:rPr>
          <w:sz w:val="26"/>
          <w:szCs w:val="26"/>
        </w:rPr>
        <w:t>20</w:t>
      </w:r>
      <w:r w:rsidR="007E5679">
        <w:rPr>
          <w:sz w:val="26"/>
          <w:szCs w:val="26"/>
        </w:rPr>
        <w:t>,</w:t>
      </w:r>
      <w:r w:rsidRPr="0025082F">
        <w:rPr>
          <w:sz w:val="26"/>
          <w:szCs w:val="26"/>
        </w:rPr>
        <w:t xml:space="preserve">7 </w:t>
      </w:r>
      <w:r w:rsidR="007E5679">
        <w:rPr>
          <w:sz w:val="26"/>
          <w:szCs w:val="26"/>
        </w:rPr>
        <w:t xml:space="preserve">тысяч </w:t>
      </w:r>
      <w:r w:rsidRPr="0025082F">
        <w:rPr>
          <w:sz w:val="26"/>
          <w:szCs w:val="26"/>
        </w:rPr>
        <w:t xml:space="preserve">женщин. Большей части из них также оказана правовая, психологическая или </w:t>
      </w:r>
      <w:proofErr w:type="gramStart"/>
      <w:r w:rsidRPr="0025082F">
        <w:rPr>
          <w:sz w:val="26"/>
          <w:szCs w:val="26"/>
        </w:rPr>
        <w:t>медико-социальная</w:t>
      </w:r>
      <w:proofErr w:type="gramEnd"/>
      <w:r w:rsidRPr="0025082F">
        <w:rPr>
          <w:sz w:val="26"/>
          <w:szCs w:val="26"/>
        </w:rPr>
        <w:t xml:space="preserve"> поддержка.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Роддомам и перинатальным центрам направлено более 142 млн</w:t>
      </w:r>
      <w:r>
        <w:rPr>
          <w:sz w:val="26"/>
          <w:szCs w:val="26"/>
        </w:rPr>
        <w:t>.</w:t>
      </w:r>
      <w:r w:rsidRPr="0025082F">
        <w:rPr>
          <w:sz w:val="26"/>
          <w:szCs w:val="26"/>
        </w:rPr>
        <w:t xml:space="preserve"> рублей. На основании талонов родовых сертификатов ими оказано </w:t>
      </w:r>
      <w:r w:rsidR="007E5679">
        <w:rPr>
          <w:sz w:val="26"/>
          <w:szCs w:val="26"/>
        </w:rPr>
        <w:t xml:space="preserve">свыше </w:t>
      </w:r>
      <w:r w:rsidRPr="0025082F">
        <w:rPr>
          <w:sz w:val="26"/>
          <w:szCs w:val="26"/>
        </w:rPr>
        <w:t>23</w:t>
      </w:r>
      <w:r w:rsidR="007E5679">
        <w:rPr>
          <w:sz w:val="26"/>
          <w:szCs w:val="26"/>
        </w:rPr>
        <w:t>,</w:t>
      </w:r>
      <w:r w:rsidRPr="0025082F">
        <w:rPr>
          <w:sz w:val="26"/>
          <w:szCs w:val="26"/>
        </w:rPr>
        <w:t>6</w:t>
      </w:r>
      <w:r w:rsidR="007E5679">
        <w:rPr>
          <w:sz w:val="26"/>
          <w:szCs w:val="26"/>
        </w:rPr>
        <w:t xml:space="preserve"> тысяч</w:t>
      </w:r>
      <w:r w:rsidRPr="0025082F">
        <w:rPr>
          <w:sz w:val="26"/>
          <w:szCs w:val="26"/>
        </w:rPr>
        <w:t xml:space="preserve"> услуг женщинам и новорожденным в период родов и послеродовый период.</w:t>
      </w:r>
    </w:p>
    <w:p w:rsidR="00C70949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Еще 28,5 млн</w:t>
      </w:r>
      <w:r>
        <w:rPr>
          <w:sz w:val="26"/>
          <w:szCs w:val="26"/>
        </w:rPr>
        <w:t>.</w:t>
      </w:r>
      <w:r w:rsidRPr="0025082F">
        <w:rPr>
          <w:sz w:val="26"/>
          <w:szCs w:val="26"/>
        </w:rPr>
        <w:t xml:space="preserve"> рублей получили детские поликлиники, где за здоровьем малышей наблюдают в течение первого года жизни.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Обращаем внимание, что оплата услуг производится только: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- если беременность сохранена;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- при многоплодной беременности будущей маме полагается один родовой сертификат, так как сертификат выдается на женщину, а не на ребенка;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- в детскую поликлинику новорожденный поставлен на учет до достижения 3 месяцев;</w:t>
      </w:r>
    </w:p>
    <w:p w:rsidR="0025082F" w:rsidRPr="0025082F" w:rsidRDefault="0025082F" w:rsidP="0025082F">
      <w:pPr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- услуги оказаны медицинскими организациями только в рамках ОМС, (сертификат не покрывает платные услуги).</w:t>
      </w:r>
    </w:p>
    <w:p w:rsidR="005E433D" w:rsidRDefault="0025082F" w:rsidP="00711B84">
      <w:pPr>
        <w:pStyle w:val="af7"/>
        <w:ind w:firstLine="567"/>
        <w:jc w:val="both"/>
        <w:rPr>
          <w:sz w:val="26"/>
          <w:szCs w:val="26"/>
        </w:rPr>
      </w:pPr>
      <w:r w:rsidRPr="0025082F">
        <w:rPr>
          <w:sz w:val="26"/>
          <w:szCs w:val="26"/>
        </w:rPr>
        <w:t>Обналичить средства по талонам родового сертификата нельзя.</w:t>
      </w:r>
    </w:p>
    <w:p w:rsidR="0025082F" w:rsidRPr="00670C4D" w:rsidRDefault="0025082F" w:rsidP="00711B84">
      <w:pPr>
        <w:pStyle w:val="af7"/>
        <w:ind w:firstLine="567"/>
        <w:jc w:val="both"/>
        <w:rPr>
          <w:sz w:val="26"/>
          <w:szCs w:val="26"/>
        </w:rPr>
      </w:pPr>
    </w:p>
    <w:p w:rsidR="00146C1A" w:rsidRDefault="00146C1A" w:rsidP="00146C1A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</w:p>
    <w:sectPr w:rsidR="00B85DD8" w:rsidSect="002D35E1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5679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1F3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C4F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FD84B-D3BC-443A-B786-4425EC68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16</cp:revision>
  <cp:lastPrinted>2023-02-02T03:48:00Z</cp:lastPrinted>
  <dcterms:created xsi:type="dcterms:W3CDTF">2023-02-02T05:17:00Z</dcterms:created>
  <dcterms:modified xsi:type="dcterms:W3CDTF">2023-02-06T04:49:00Z</dcterms:modified>
</cp:coreProperties>
</file>