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auto" w:val="clear"/>
        </w:rPr>
      </w:pPr>
      <w:r>
        <w:object w:dxaOrig="996" w:dyaOrig="851">
          <v:rect xmlns:o="urn:schemas-microsoft-com:office:office" xmlns:v="urn:schemas-microsoft-com:vml" id="rectole0000000000" style="width:49.800000pt;height:42.5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Отделение Пенсионного фонда Российской Федерации 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6"/>
          <w:shd w:fill="auto" w:val="clear"/>
        </w:rPr>
        <w:t xml:space="preserve">государственное учреждение) по Новосибирской области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Пресс-релиз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  <w:t xml:space="preserve">В правила использования МСК на жилье внесены изменения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2"/>
          <w:shd w:fill="auto" w:val="clear"/>
        </w:rPr>
      </w:pP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6"/>
          <w:shd w:fill="auto" w:val="clear"/>
        </w:rPr>
        <w:t xml:space="preserve">Постановлением Правительства РФ внесены изменения в правила использования материнского (семейного) капитала на улучшение жилищных условий семьи. </w:t>
      </w:r>
    </w:p>
    <w:p>
      <w:p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16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 мае вступило в силу Постановление Правительства РФ, касающееся использования средств материнского (семейного) капитала на улучшение жилищных условий семьи.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Первое изменение  корректирует пакет документов, необходимых при распоряжении средствами МСК на индивидуальное строительство дома.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Данная корректировка  связана с изменением Градостроительного кодекса. Ранее при распоряжении средствами маткапитала на строительство (реконструкцию) объекта индивидуального жилищного строительства лицу, получившему сертификат на материнский капитал, одновременно с заявлением о распоряжении указанными средствами необходимо было представить в числе других необходимых документов копию разрешения на строительство. В настоящее время вместо выдачи разрешения на строительство выдается уведомление о соответствии объекта индивидуального жилищного строительства параметрам и допустимости его размещения на земельном участке.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С целью приведения законодательства о материнском капитале в соответствие с Градостроительным кодексом, в Правила и вносятся изменения, предусматривающие предоставление гражданами при распоряжении средствами маткапитала на строительство дома соответствующего уведомления взамен разрешения на строительство.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Копии документов представляются в территориальный орган Пенсионного фонда России с оригиналами документов. Оригиналы возвращаются  владельцу сертификата.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Второе изменение касается ипотечных займов, взятых с использованием средств МСК. По новым правилам  соответствующий ипотечный займ можно будет получить лишь в организациях, подотчетных Центробанку России, а также в едином институте развития в жилищной сфере и сельскохозяйственных кредитных потребительских кооперативах.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Иные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организации, в которых ранее можно было получить ипотеку с привлечением МСК, исключены из списка.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  <w:t xml:space="preserve">Вышеуказанные  изменения были приняты в связи со вступлением в марте текущего года Закона, ужесточающего контроль за расходованием средств МСК, полученных за рождение (усыновление) второго или последующего ребенка.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12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auto" w:val="clear"/>
        </w:rPr>
        <w:t xml:space="preserve">На сегодняшний день порядка 120 тысяч новосибирцев улучшили свои жилищные условия при помощи средств МСК. Из них почти 70% сделали это с привлечением кредитных средств. Построили же свой дом с использованием материнского капитала свыше 9,5 тысяч жителей региона.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6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6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embeddings/oleObject0.bin" Id="docRId0" Type="http://schemas.openxmlformats.org/officeDocument/2006/relationships/oleObject"/><Relationship Target="media/image0.wmf" Id="docRId1" Type="http://schemas.openxmlformats.org/officeDocument/2006/relationships/image"/><Relationship Target="numbering.xml" Id="docRId2" Type="http://schemas.openxmlformats.org/officeDocument/2006/relationships/numbering"/><Relationship Target="styles.xml" Id="docRId3" Type="http://schemas.openxmlformats.org/officeDocument/2006/relationships/styles"/></Relationships>
</file>