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Отделение Пенсионного фонда Российской Федерации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государственное учреждение) по Новосибирской области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миллиардов рублей на поддержку семей с детьми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Более 50 миллиардов рублей потратили новосибирцы из средств материнского (семейного) капитала.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Сегодня в России отмечается День семьи, любви и верности. Одной из мер поддержки семей с детьми по линии Пенсионного фонда России является Программа материнского (семейного) капитала. Данная Программа действует уже более 12 лет.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 это время владельцами сертификатов на материнский капитал стали свыше 210 тысяч семей региона. А специалистами органов ПФР по Новосибирской области  уже направлено более 50 миллиардов рублей на распоряжение средствами МСК. Около 3 миллиардов рублей – в текущем году.  Порядка 95% из 50 миллиардов рублей потрачено новосибирцами на улучшение жилищных условий семьи.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 сегодняшний день действие Программы рассчитано до 2021 года включительно.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Размер МСК в 2019 - 453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026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рублей. Предполагается, что в 2020 году сумма материнского капитала составит около 470 рублей.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Средства можно направить на улучшение жилищных условий, обучение детей и оплату детского сада, на социальную адаптацию детей-инвалидов, на ежемесячную выплату семьям с невысоким доходом (с января 2018 года), а также на формирование накопительной пенсии матери.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Почти 77 % новосибирских семей уже использовали средства капитала (полностью или частично) по основным направлениям его расходования.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Подать заявление о выдаче сертификата МСК или о распоряжении его средствами можно как в клиентской службе ПФР, так и через филиалы МФЦ. Также подать заявление  можно и в электронном виде через Личный кабинет на сайте ПФР. В этом случае необходимо в течение 5 рабочих дней обратиться в территориальный орган ПФР, куда было направлено электронное заявление, и представить документы личного хранения. О цели своего визита следует сообщить администратору клиентской службы.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При этом, если семья решила получить часть средств МСК в виде ежемесячной выплаты, то заявление можно подать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только по месту прописки или постоянной регистрации родителя, но и фактическому месту проживания семьи.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