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19576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21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19576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Pr="0064475D" w:rsidRDefault="0064475D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Отделением ПФР по Новосибирской области перечислено семьям региона средств </w:t>
      </w:r>
      <w:proofErr w:type="spellStart"/>
      <w:r>
        <w:rPr>
          <w:b/>
          <w:sz w:val="26"/>
          <w:szCs w:val="26"/>
        </w:rPr>
        <w:t>маткапитала</w:t>
      </w:r>
      <w:proofErr w:type="spellEnd"/>
      <w:r>
        <w:rPr>
          <w:b/>
          <w:sz w:val="26"/>
          <w:szCs w:val="26"/>
        </w:rPr>
        <w:t xml:space="preserve"> на дошкольное образование более 200 млн. рублей</w:t>
      </w:r>
    </w:p>
    <w:p w:rsidR="00514176" w:rsidRPr="006436D1" w:rsidRDefault="00514176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64475D" w:rsidRDefault="0064475D" w:rsidP="0064475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4475D">
        <w:rPr>
          <w:sz w:val="26"/>
          <w:szCs w:val="26"/>
          <w:lang w:eastAsia="ru-RU"/>
        </w:rPr>
        <w:t xml:space="preserve">Образование детей является вторым по востребованности направлением использования </w:t>
      </w:r>
      <w:proofErr w:type="spellStart"/>
      <w:r w:rsidRPr="0064475D">
        <w:rPr>
          <w:sz w:val="26"/>
          <w:szCs w:val="26"/>
          <w:lang w:eastAsia="ru-RU"/>
        </w:rPr>
        <w:t>маткапитала</w:t>
      </w:r>
      <w:proofErr w:type="spellEnd"/>
      <w:r w:rsidRPr="0064475D">
        <w:rPr>
          <w:sz w:val="26"/>
          <w:szCs w:val="26"/>
          <w:lang w:eastAsia="ru-RU"/>
        </w:rPr>
        <w:t xml:space="preserve"> после улучшения жилищных условий. За все время Отделением ПФР по Новосибирской области перечислено семьям региона на оплату образовательных услуг </w:t>
      </w:r>
      <w:r>
        <w:rPr>
          <w:sz w:val="26"/>
          <w:szCs w:val="26"/>
          <w:lang w:eastAsia="ru-RU"/>
        </w:rPr>
        <w:t>почти полтора</w:t>
      </w:r>
      <w:r w:rsidRPr="0064475D">
        <w:rPr>
          <w:sz w:val="26"/>
          <w:szCs w:val="26"/>
          <w:lang w:eastAsia="ru-RU"/>
        </w:rPr>
        <w:t xml:space="preserve"> млрд. рублей, из них 200 млн. – на дошкольное образование. </w:t>
      </w:r>
    </w:p>
    <w:p w:rsidR="0064475D" w:rsidRDefault="0064475D" w:rsidP="0064475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теперь р</w:t>
      </w:r>
      <w:r w:rsidRPr="00691EE4">
        <w:rPr>
          <w:sz w:val="26"/>
          <w:szCs w:val="26"/>
          <w:lang w:eastAsia="ru-RU"/>
        </w:rPr>
        <w:t xml:space="preserve">одители могут оплатить </w:t>
      </w:r>
      <w:r>
        <w:rPr>
          <w:sz w:val="26"/>
          <w:szCs w:val="26"/>
          <w:lang w:eastAsia="ru-RU"/>
        </w:rPr>
        <w:t xml:space="preserve">материнским (семейным) </w:t>
      </w:r>
      <w:r w:rsidRPr="00691EE4">
        <w:rPr>
          <w:sz w:val="26"/>
          <w:szCs w:val="26"/>
          <w:lang w:eastAsia="ru-RU"/>
        </w:rPr>
        <w:t xml:space="preserve">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</w:t>
      </w:r>
    </w:p>
    <w:p w:rsidR="00A255CD" w:rsidRPr="00195768" w:rsidRDefault="00A255CD" w:rsidP="00A255C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95768">
        <w:rPr>
          <w:sz w:val="26"/>
          <w:szCs w:val="26"/>
          <w:lang w:eastAsia="ru-RU"/>
        </w:rPr>
        <w:t xml:space="preserve">Еще два года назад Пенсионный фонд упростил распоряжение материнским капиталом на обучение. С сентября 2020 года </w:t>
      </w:r>
      <w:r w:rsidR="00195768" w:rsidRPr="00195768">
        <w:rPr>
          <w:sz w:val="26"/>
          <w:szCs w:val="26"/>
          <w:lang w:eastAsia="ru-RU"/>
        </w:rPr>
        <w:t xml:space="preserve">органы </w:t>
      </w:r>
      <w:r w:rsidRPr="00195768">
        <w:rPr>
          <w:sz w:val="26"/>
          <w:szCs w:val="26"/>
          <w:lang w:eastAsia="ru-RU"/>
        </w:rPr>
        <w:t>ПФР по всей стране начали заключать соглашения с вузами, колледжами и дошкольными учреждениями, чтобы запрашивать у них данные по договорам на обучение. В итоге большинству родителей не приходится самим представлять эти документы в Пенсионный фонд</w:t>
      </w:r>
      <w:r w:rsidR="00195768">
        <w:rPr>
          <w:sz w:val="26"/>
          <w:szCs w:val="26"/>
          <w:lang w:eastAsia="ru-RU"/>
        </w:rPr>
        <w:t>, даже в том случае, если ребенок учится в другом регионе</w:t>
      </w:r>
      <w:r w:rsidRPr="00195768">
        <w:rPr>
          <w:sz w:val="26"/>
          <w:szCs w:val="26"/>
          <w:lang w:eastAsia="ru-RU"/>
        </w:rPr>
        <w:t xml:space="preserve">. </w:t>
      </w:r>
      <w:r w:rsidR="00195768">
        <w:rPr>
          <w:sz w:val="26"/>
          <w:szCs w:val="26"/>
          <w:lang w:eastAsia="ru-RU"/>
        </w:rPr>
        <w:t xml:space="preserve">Таким образом, для распоряжения средствами </w:t>
      </w:r>
      <w:proofErr w:type="spellStart"/>
      <w:r w:rsidR="00195768">
        <w:rPr>
          <w:sz w:val="26"/>
          <w:szCs w:val="26"/>
          <w:lang w:eastAsia="ru-RU"/>
        </w:rPr>
        <w:t>маткапитала</w:t>
      </w:r>
      <w:proofErr w:type="spellEnd"/>
      <w:r w:rsidR="00195768">
        <w:rPr>
          <w:sz w:val="26"/>
          <w:szCs w:val="26"/>
          <w:lang w:eastAsia="ru-RU"/>
        </w:rPr>
        <w:t xml:space="preserve"> на обучение в образовательном учреждении, в том числе и дошкольном, достаточно подать заявление в электронном виде через портал </w:t>
      </w:r>
      <w:proofErr w:type="spellStart"/>
      <w:r w:rsidR="00195768">
        <w:rPr>
          <w:sz w:val="26"/>
          <w:szCs w:val="26"/>
          <w:lang w:eastAsia="ru-RU"/>
        </w:rPr>
        <w:t>госуслуг</w:t>
      </w:r>
      <w:proofErr w:type="spellEnd"/>
      <w:r w:rsidR="00195768">
        <w:rPr>
          <w:sz w:val="26"/>
          <w:szCs w:val="26"/>
          <w:lang w:eastAsia="ru-RU"/>
        </w:rPr>
        <w:t xml:space="preserve"> или личный кабинет на сайте ПФР (без личного посещения ПФР или МФЦ), если с этим учреждением заключено соответствующее соглашение. </w:t>
      </w:r>
      <w:r w:rsidR="00195768" w:rsidRPr="00195768">
        <w:rPr>
          <w:sz w:val="26"/>
          <w:szCs w:val="26"/>
          <w:lang w:eastAsia="ru-RU"/>
        </w:rPr>
        <w:t xml:space="preserve">Сейчас 27 тыс. учебных заведений </w:t>
      </w:r>
      <w:r w:rsidR="00272856">
        <w:rPr>
          <w:sz w:val="26"/>
          <w:szCs w:val="26"/>
          <w:lang w:eastAsia="ru-RU"/>
        </w:rPr>
        <w:t xml:space="preserve">по всей стране </w:t>
      </w:r>
      <w:r w:rsidR="00195768" w:rsidRPr="00195768">
        <w:rPr>
          <w:sz w:val="26"/>
          <w:szCs w:val="26"/>
          <w:lang w:eastAsia="ru-RU"/>
        </w:rPr>
        <w:t>передают в ПФР данные об учащихся.</w:t>
      </w:r>
      <w:r w:rsidR="00195768">
        <w:rPr>
          <w:sz w:val="26"/>
          <w:szCs w:val="26"/>
          <w:lang w:eastAsia="ru-RU"/>
        </w:rPr>
        <w:t xml:space="preserve"> </w:t>
      </w:r>
    </w:p>
    <w:p w:rsidR="00A255CD" w:rsidRPr="00195768" w:rsidRDefault="00A255CD" w:rsidP="00A255C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95768">
        <w:rPr>
          <w:sz w:val="26"/>
          <w:szCs w:val="26"/>
          <w:lang w:eastAsia="ru-RU"/>
        </w:rPr>
        <w:t xml:space="preserve">К этому учебному году возможности материнского капитала </w:t>
      </w:r>
      <w:r w:rsidR="00195768">
        <w:rPr>
          <w:sz w:val="26"/>
          <w:szCs w:val="26"/>
          <w:lang w:eastAsia="ru-RU"/>
        </w:rPr>
        <w:t xml:space="preserve">вновь расширены </w:t>
      </w:r>
      <w:r w:rsidRPr="00195768">
        <w:rPr>
          <w:sz w:val="26"/>
          <w:szCs w:val="26"/>
          <w:lang w:eastAsia="ru-RU"/>
        </w:rPr>
        <w:t xml:space="preserve">за счет оплаты </w:t>
      </w:r>
      <w:r w:rsidR="00195768">
        <w:rPr>
          <w:sz w:val="26"/>
          <w:szCs w:val="26"/>
          <w:lang w:eastAsia="ru-RU"/>
        </w:rPr>
        <w:t xml:space="preserve">образовательных </w:t>
      </w:r>
      <w:r w:rsidRPr="00195768">
        <w:rPr>
          <w:sz w:val="26"/>
          <w:szCs w:val="26"/>
          <w:lang w:eastAsia="ru-RU"/>
        </w:rPr>
        <w:t>услуг</w:t>
      </w:r>
      <w:r w:rsidR="00195768">
        <w:rPr>
          <w:sz w:val="26"/>
          <w:szCs w:val="26"/>
          <w:lang w:eastAsia="ru-RU"/>
        </w:rPr>
        <w:t>, которые оказывают индивидуальные предприниматели</w:t>
      </w:r>
      <w:r w:rsidRPr="00195768">
        <w:rPr>
          <w:sz w:val="26"/>
          <w:szCs w:val="26"/>
          <w:lang w:eastAsia="ru-RU"/>
        </w:rPr>
        <w:t xml:space="preserve">. </w:t>
      </w:r>
    </w:p>
    <w:p w:rsidR="00A255CD" w:rsidRPr="00A255CD" w:rsidRDefault="00A255CD" w:rsidP="00A255C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Обращаем внимание, что у физлица, с которым заключается договор на оказание образовательных услуг, должна быть не только </w:t>
      </w:r>
      <w:proofErr w:type="spellStart"/>
      <w:r>
        <w:rPr>
          <w:sz w:val="26"/>
          <w:szCs w:val="26"/>
          <w:lang w:eastAsia="ru-RU"/>
        </w:rPr>
        <w:t>гос</w:t>
      </w:r>
      <w:proofErr w:type="spellEnd"/>
      <w:r>
        <w:rPr>
          <w:sz w:val="26"/>
          <w:szCs w:val="26"/>
          <w:lang w:eastAsia="ru-RU"/>
        </w:rPr>
        <w:t xml:space="preserve"> лицензия на образовательную деятельность, но и официальный статус ИП. Регистрации</w:t>
      </w:r>
      <w:r w:rsidRPr="00691EE4">
        <w:rPr>
          <w:sz w:val="26"/>
          <w:szCs w:val="26"/>
          <w:lang w:eastAsia="ru-RU"/>
        </w:rPr>
        <w:t xml:space="preserve"> просто в качестве </w:t>
      </w:r>
      <w:proofErr w:type="spellStart"/>
      <w:r w:rsidRPr="00691EE4">
        <w:rPr>
          <w:sz w:val="26"/>
          <w:szCs w:val="26"/>
          <w:lang w:eastAsia="ru-RU"/>
        </w:rPr>
        <w:t>самозанятого</w:t>
      </w:r>
      <w:proofErr w:type="spellEnd"/>
      <w:r w:rsidRPr="00691EE4">
        <w:rPr>
          <w:sz w:val="26"/>
          <w:szCs w:val="26"/>
          <w:lang w:eastAsia="ru-RU"/>
        </w:rPr>
        <w:t xml:space="preserve"> в таком случае не </w:t>
      </w:r>
      <w:r>
        <w:rPr>
          <w:sz w:val="26"/>
          <w:szCs w:val="26"/>
          <w:lang w:eastAsia="ru-RU"/>
        </w:rPr>
        <w:t>достаточно</w:t>
      </w:r>
      <w:r w:rsidRPr="00691EE4">
        <w:rPr>
          <w:sz w:val="26"/>
          <w:szCs w:val="26"/>
          <w:lang w:eastAsia="ru-RU"/>
        </w:rPr>
        <w:t>.</w:t>
      </w:r>
    </w:p>
    <w:p w:rsidR="00A255CD" w:rsidRPr="00691EE4" w:rsidRDefault="00A255CD" w:rsidP="00A255C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>Для семей оплата услуг предпринимателей практически не отличается от стандартного распо</w:t>
      </w:r>
      <w:r>
        <w:rPr>
          <w:sz w:val="26"/>
          <w:szCs w:val="26"/>
          <w:lang w:eastAsia="ru-RU"/>
        </w:rPr>
        <w:t>ряжения материнским капиталом на обучение</w:t>
      </w:r>
      <w:r w:rsidR="00671B41">
        <w:rPr>
          <w:sz w:val="26"/>
          <w:szCs w:val="26"/>
          <w:lang w:eastAsia="ru-RU"/>
        </w:rPr>
        <w:t xml:space="preserve">. </w:t>
      </w:r>
      <w:r w:rsidR="00195768">
        <w:rPr>
          <w:sz w:val="26"/>
          <w:szCs w:val="26"/>
          <w:lang w:eastAsia="ru-RU"/>
        </w:rPr>
        <w:t>Однако</w:t>
      </w:r>
      <w:proofErr w:type="gramStart"/>
      <w:r w:rsidR="00195768">
        <w:rPr>
          <w:sz w:val="26"/>
          <w:szCs w:val="26"/>
          <w:lang w:eastAsia="ru-RU"/>
        </w:rPr>
        <w:t>,</w:t>
      </w:r>
      <w:proofErr w:type="gramEnd"/>
      <w:r w:rsidR="00195768">
        <w:rPr>
          <w:sz w:val="26"/>
          <w:szCs w:val="26"/>
          <w:lang w:eastAsia="ru-RU"/>
        </w:rPr>
        <w:t xml:space="preserve"> р</w:t>
      </w:r>
      <w:r w:rsidR="00671B41">
        <w:rPr>
          <w:sz w:val="26"/>
          <w:szCs w:val="26"/>
          <w:lang w:eastAsia="ru-RU"/>
        </w:rPr>
        <w:t xml:space="preserve">одителям нужно представить </w:t>
      </w:r>
      <w:r w:rsidRPr="00691EE4">
        <w:rPr>
          <w:sz w:val="26"/>
          <w:szCs w:val="26"/>
          <w:lang w:eastAsia="ru-RU"/>
        </w:rPr>
        <w:t>в </w:t>
      </w:r>
      <w:r>
        <w:rPr>
          <w:sz w:val="26"/>
          <w:szCs w:val="26"/>
          <w:lang w:eastAsia="ru-RU"/>
        </w:rPr>
        <w:t xml:space="preserve">ПФР </w:t>
      </w:r>
      <w:r w:rsidR="00195768">
        <w:rPr>
          <w:sz w:val="26"/>
          <w:szCs w:val="26"/>
          <w:lang w:eastAsia="ru-RU"/>
        </w:rPr>
        <w:t xml:space="preserve">не только </w:t>
      </w:r>
      <w:r w:rsidRPr="00691EE4">
        <w:rPr>
          <w:sz w:val="26"/>
          <w:szCs w:val="26"/>
          <w:lang w:eastAsia="ru-RU"/>
        </w:rPr>
        <w:t>заявление</w:t>
      </w:r>
      <w:r w:rsidR="00195768">
        <w:rPr>
          <w:sz w:val="26"/>
          <w:szCs w:val="26"/>
          <w:lang w:eastAsia="ru-RU"/>
        </w:rPr>
        <w:t>, но</w:t>
      </w:r>
      <w:r w:rsidRPr="00691EE4">
        <w:rPr>
          <w:sz w:val="26"/>
          <w:szCs w:val="26"/>
          <w:lang w:eastAsia="ru-RU"/>
        </w:rPr>
        <w:t xml:space="preserve"> и </w:t>
      </w:r>
      <w:r w:rsidR="00671B41">
        <w:rPr>
          <w:sz w:val="26"/>
          <w:szCs w:val="26"/>
          <w:lang w:eastAsia="ru-RU"/>
        </w:rPr>
        <w:t>договор</w:t>
      </w:r>
      <w:r w:rsidRPr="00691EE4">
        <w:rPr>
          <w:sz w:val="26"/>
          <w:szCs w:val="26"/>
          <w:lang w:eastAsia="ru-RU"/>
        </w:rPr>
        <w:t xml:space="preserve"> с ИП на оказание услуг с расчетом стоимости</w:t>
      </w:r>
      <w:r w:rsidR="00195768">
        <w:rPr>
          <w:sz w:val="26"/>
          <w:szCs w:val="26"/>
          <w:lang w:eastAsia="ru-RU"/>
        </w:rPr>
        <w:t xml:space="preserve">, </w:t>
      </w:r>
      <w:r w:rsidR="00195768" w:rsidRPr="00691EE4">
        <w:rPr>
          <w:sz w:val="26"/>
          <w:szCs w:val="26"/>
          <w:lang w:eastAsia="ru-RU"/>
        </w:rPr>
        <w:t>поскольку у ИП, в отличие от вузов</w:t>
      </w:r>
      <w:r w:rsidR="00195768">
        <w:rPr>
          <w:sz w:val="26"/>
          <w:szCs w:val="26"/>
          <w:lang w:eastAsia="ru-RU"/>
        </w:rPr>
        <w:t xml:space="preserve">, </w:t>
      </w:r>
      <w:proofErr w:type="spellStart"/>
      <w:r w:rsidR="00195768">
        <w:rPr>
          <w:sz w:val="26"/>
          <w:szCs w:val="26"/>
          <w:lang w:eastAsia="ru-RU"/>
        </w:rPr>
        <w:t>ссузов</w:t>
      </w:r>
      <w:proofErr w:type="spellEnd"/>
      <w:r w:rsidR="00195768" w:rsidRPr="00691EE4">
        <w:rPr>
          <w:sz w:val="26"/>
          <w:szCs w:val="26"/>
          <w:lang w:eastAsia="ru-RU"/>
        </w:rPr>
        <w:t xml:space="preserve"> и школ, нет обмена данным</w:t>
      </w:r>
      <w:r w:rsidR="00195768">
        <w:rPr>
          <w:sz w:val="26"/>
          <w:szCs w:val="26"/>
          <w:lang w:eastAsia="ru-RU"/>
        </w:rPr>
        <w:t>и с ПФР о договорах на обучение</w:t>
      </w:r>
      <w:r w:rsidRPr="00691EE4">
        <w:rPr>
          <w:sz w:val="26"/>
          <w:szCs w:val="26"/>
          <w:lang w:eastAsia="ru-RU"/>
        </w:rPr>
        <w:t xml:space="preserve">. Документы принимаются в клиентских службах </w:t>
      </w:r>
      <w:r>
        <w:rPr>
          <w:sz w:val="26"/>
          <w:szCs w:val="26"/>
          <w:lang w:eastAsia="ru-RU"/>
        </w:rPr>
        <w:t xml:space="preserve">ПФР, а также в МФЦ. </w:t>
      </w:r>
    </w:p>
    <w:p w:rsidR="00A255CD" w:rsidRDefault="00A255CD" w:rsidP="00A255C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 xml:space="preserve">Отправить заявление можно </w:t>
      </w:r>
      <w:r w:rsidR="00195768">
        <w:rPr>
          <w:sz w:val="26"/>
          <w:szCs w:val="26"/>
          <w:lang w:eastAsia="ru-RU"/>
        </w:rPr>
        <w:t xml:space="preserve">и в электронном виде </w:t>
      </w:r>
      <w:r w:rsidRPr="00691EE4">
        <w:rPr>
          <w:sz w:val="26"/>
          <w:szCs w:val="26"/>
          <w:lang w:eastAsia="ru-RU"/>
        </w:rPr>
        <w:t xml:space="preserve">через портал </w:t>
      </w:r>
      <w:proofErr w:type="spellStart"/>
      <w:r w:rsidRPr="00691EE4">
        <w:rPr>
          <w:sz w:val="26"/>
          <w:szCs w:val="26"/>
          <w:lang w:eastAsia="ru-RU"/>
        </w:rPr>
        <w:t>госуслуг</w:t>
      </w:r>
      <w:proofErr w:type="spellEnd"/>
      <w:r w:rsidRPr="00691EE4">
        <w:rPr>
          <w:sz w:val="26"/>
          <w:szCs w:val="26"/>
          <w:lang w:eastAsia="ru-RU"/>
        </w:rPr>
        <w:t xml:space="preserve"> или сайт </w:t>
      </w:r>
      <w:r w:rsidR="00195768">
        <w:rPr>
          <w:sz w:val="26"/>
          <w:szCs w:val="26"/>
          <w:lang w:eastAsia="ru-RU"/>
        </w:rPr>
        <w:t>ПФР</w:t>
      </w:r>
      <w:r w:rsidRPr="00691EE4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 xml:space="preserve">При этом </w:t>
      </w:r>
      <w:r w:rsidRPr="00691EE4">
        <w:rPr>
          <w:sz w:val="26"/>
          <w:szCs w:val="26"/>
          <w:lang w:eastAsia="ru-RU"/>
        </w:rPr>
        <w:t xml:space="preserve">владельцу сертификата </w:t>
      </w:r>
      <w:r w:rsidR="00272856">
        <w:rPr>
          <w:sz w:val="26"/>
          <w:szCs w:val="26"/>
          <w:lang w:eastAsia="ru-RU"/>
        </w:rPr>
        <w:t>необходимо</w:t>
      </w:r>
      <w:r w:rsidRPr="00691EE4">
        <w:rPr>
          <w:sz w:val="26"/>
          <w:szCs w:val="26"/>
          <w:lang w:eastAsia="ru-RU"/>
        </w:rPr>
        <w:t xml:space="preserve"> после этого </w:t>
      </w:r>
      <w:r>
        <w:rPr>
          <w:sz w:val="26"/>
          <w:szCs w:val="26"/>
          <w:lang w:eastAsia="ru-RU"/>
        </w:rPr>
        <w:t xml:space="preserve">в течение 5 дней </w:t>
      </w:r>
      <w:r w:rsidRPr="00691EE4">
        <w:rPr>
          <w:sz w:val="26"/>
          <w:szCs w:val="26"/>
          <w:lang w:eastAsia="ru-RU"/>
        </w:rPr>
        <w:t xml:space="preserve">представить в Пенсионный фонд оригинал договора, </w:t>
      </w:r>
    </w:p>
    <w:p w:rsidR="00671B41" w:rsidRDefault="008F4FEC" w:rsidP="00A255C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91EE4">
        <w:rPr>
          <w:sz w:val="26"/>
          <w:szCs w:val="26"/>
          <w:lang w:eastAsia="ru-RU"/>
        </w:rPr>
        <w:t>Распорядиться материнским капиталом на частный детский сад, услуги няни или </w:t>
      </w:r>
      <w:proofErr w:type="gramStart"/>
      <w:r w:rsidRPr="00691EE4">
        <w:rPr>
          <w:sz w:val="26"/>
          <w:szCs w:val="26"/>
          <w:lang w:eastAsia="ru-RU"/>
        </w:rPr>
        <w:t>обучение по</w:t>
      </w:r>
      <w:proofErr w:type="gramEnd"/>
      <w:r w:rsidRPr="00691EE4">
        <w:rPr>
          <w:sz w:val="26"/>
          <w:szCs w:val="26"/>
          <w:lang w:eastAsia="ru-RU"/>
        </w:rPr>
        <w:t> дошкольным программам родители могут сразу после рождения ребенка, за которого получен капитал</w:t>
      </w:r>
      <w:r w:rsidR="006436D1">
        <w:rPr>
          <w:sz w:val="26"/>
          <w:szCs w:val="26"/>
          <w:lang w:eastAsia="ru-RU"/>
        </w:rPr>
        <w:t xml:space="preserve">, не </w:t>
      </w:r>
      <w:r w:rsidR="006436D1" w:rsidRPr="00272856">
        <w:rPr>
          <w:sz w:val="26"/>
          <w:szCs w:val="26"/>
          <w:lang w:eastAsia="ru-RU"/>
        </w:rPr>
        <w:t>дожидаясь, когда ему исполнится 3 года</w:t>
      </w:r>
      <w:r w:rsidRPr="00272856">
        <w:rPr>
          <w:sz w:val="26"/>
          <w:szCs w:val="26"/>
          <w:lang w:eastAsia="ru-RU"/>
        </w:rPr>
        <w:t>.</w:t>
      </w:r>
      <w:r w:rsidR="00272856" w:rsidRPr="00272856">
        <w:rPr>
          <w:sz w:val="26"/>
          <w:szCs w:val="26"/>
          <w:lang w:eastAsia="ru-RU"/>
        </w:rPr>
        <w:t xml:space="preserve"> По программам основного и дополнительного образования (в том числе через услуги репетитора) возможно, когда ребенку исполнится три года. И в том и в другом случае использовать средства капитала допускается на любого из детей в семье.</w:t>
      </w:r>
    </w:p>
    <w:p w:rsidR="006436D1" w:rsidRPr="006436D1" w:rsidRDefault="006436D1" w:rsidP="00A255CD">
      <w:pPr>
        <w:pStyle w:val="af6"/>
        <w:ind w:firstLine="567"/>
        <w:jc w:val="both"/>
        <w:rPr>
          <w:b/>
          <w:sz w:val="10"/>
          <w:szCs w:val="10"/>
          <w:lang w:eastAsia="ru-RU"/>
        </w:rPr>
      </w:pPr>
    </w:p>
    <w:p w:rsidR="00195768" w:rsidRDefault="00195768" w:rsidP="006436D1">
      <w:pPr>
        <w:pStyle w:val="af6"/>
        <w:ind w:firstLine="567"/>
        <w:jc w:val="right"/>
      </w:pPr>
    </w:p>
    <w:p w:rsidR="001B3BAF" w:rsidRDefault="003C1FF2" w:rsidP="006436D1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6436D1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40"/>
  </w:num>
  <w:num w:numId="5">
    <w:abstractNumId w:val="41"/>
  </w:num>
  <w:num w:numId="6">
    <w:abstractNumId w:val="1"/>
  </w:num>
  <w:num w:numId="7">
    <w:abstractNumId w:val="39"/>
  </w:num>
  <w:num w:numId="8">
    <w:abstractNumId w:val="3"/>
  </w:num>
  <w:num w:numId="9">
    <w:abstractNumId w:val="31"/>
  </w:num>
  <w:num w:numId="10">
    <w:abstractNumId w:val="35"/>
  </w:num>
  <w:num w:numId="11">
    <w:abstractNumId w:val="21"/>
  </w:num>
  <w:num w:numId="12">
    <w:abstractNumId w:val="23"/>
  </w:num>
  <w:num w:numId="13">
    <w:abstractNumId w:val="24"/>
  </w:num>
  <w:num w:numId="14">
    <w:abstractNumId w:val="42"/>
  </w:num>
  <w:num w:numId="15">
    <w:abstractNumId w:val="33"/>
  </w:num>
  <w:num w:numId="16">
    <w:abstractNumId w:val="26"/>
  </w:num>
  <w:num w:numId="17">
    <w:abstractNumId w:val="22"/>
  </w:num>
  <w:num w:numId="18">
    <w:abstractNumId w:val="29"/>
  </w:num>
  <w:num w:numId="19">
    <w:abstractNumId w:val="5"/>
  </w:num>
  <w:num w:numId="20">
    <w:abstractNumId w:val="28"/>
  </w:num>
  <w:num w:numId="21">
    <w:abstractNumId w:val="8"/>
  </w:num>
  <w:num w:numId="22">
    <w:abstractNumId w:val="36"/>
  </w:num>
  <w:num w:numId="23">
    <w:abstractNumId w:val="20"/>
  </w:num>
  <w:num w:numId="24">
    <w:abstractNumId w:val="13"/>
  </w:num>
  <w:num w:numId="25">
    <w:abstractNumId w:val="6"/>
  </w:num>
  <w:num w:numId="26">
    <w:abstractNumId w:val="19"/>
  </w:num>
  <w:num w:numId="27">
    <w:abstractNumId w:val="12"/>
  </w:num>
  <w:num w:numId="28">
    <w:abstractNumId w:val="25"/>
  </w:num>
  <w:num w:numId="29">
    <w:abstractNumId w:val="18"/>
  </w:num>
  <w:num w:numId="30">
    <w:abstractNumId w:val="45"/>
  </w:num>
  <w:num w:numId="31">
    <w:abstractNumId w:val="27"/>
  </w:num>
  <w:num w:numId="32">
    <w:abstractNumId w:val="14"/>
  </w:num>
  <w:num w:numId="33">
    <w:abstractNumId w:val="30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8"/>
  </w:num>
  <w:num w:numId="39">
    <w:abstractNumId w:val="16"/>
  </w:num>
  <w:num w:numId="40">
    <w:abstractNumId w:val="37"/>
  </w:num>
  <w:num w:numId="41">
    <w:abstractNumId w:val="10"/>
  </w:num>
  <w:num w:numId="42">
    <w:abstractNumId w:val="44"/>
  </w:num>
  <w:num w:numId="43">
    <w:abstractNumId w:val="32"/>
  </w:num>
  <w:num w:numId="44">
    <w:abstractNumId w:val="9"/>
  </w:num>
  <w:num w:numId="45">
    <w:abstractNumId w:val="15"/>
  </w:num>
  <w:num w:numId="46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68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2856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220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8837-42B6-450F-9BF2-A6B88335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71</cp:revision>
  <cp:lastPrinted>2022-06-29T07:11:00Z</cp:lastPrinted>
  <dcterms:created xsi:type="dcterms:W3CDTF">2022-09-05T07:45:00Z</dcterms:created>
  <dcterms:modified xsi:type="dcterms:W3CDTF">2022-10-21T03:35:00Z</dcterms:modified>
</cp:coreProperties>
</file>