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1A" w:rsidRDefault="0072571A" w:rsidP="007257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571A">
        <w:rPr>
          <w:b/>
          <w:sz w:val="28"/>
          <w:szCs w:val="28"/>
        </w:rPr>
        <w:t>О финансовом обеспечении предупредительных мер</w:t>
      </w:r>
    </w:p>
    <w:p w:rsidR="0072571A" w:rsidRPr="0072571A" w:rsidRDefault="0072571A" w:rsidP="0072571A">
      <w:pPr>
        <w:autoSpaceDE w:val="0"/>
        <w:autoSpaceDN w:val="0"/>
        <w:adjustRightInd w:val="0"/>
        <w:ind w:firstLine="709"/>
        <w:jc w:val="center"/>
        <w:rPr>
          <w:b/>
          <w:color w:val="000000"/>
          <w:kern w:val="1"/>
          <w:sz w:val="28"/>
          <w:szCs w:val="28"/>
          <w:lang w:eastAsia="ar-SA"/>
        </w:rPr>
      </w:pPr>
    </w:p>
    <w:p w:rsidR="0072571A" w:rsidRPr="007B7209" w:rsidRDefault="0072571A" w:rsidP="00725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7209">
        <w:rPr>
          <w:color w:val="000000"/>
          <w:kern w:val="1"/>
          <w:sz w:val="28"/>
          <w:szCs w:val="28"/>
          <w:lang w:eastAsia="ar-SA"/>
        </w:rPr>
        <w:t>Отделени</w:t>
      </w:r>
      <w:r>
        <w:rPr>
          <w:color w:val="000000"/>
          <w:kern w:val="1"/>
          <w:sz w:val="28"/>
          <w:szCs w:val="28"/>
          <w:lang w:eastAsia="ar-SA"/>
        </w:rPr>
        <w:t>е</w:t>
      </w:r>
      <w:r w:rsidRPr="007B7209">
        <w:rPr>
          <w:color w:val="000000"/>
          <w:kern w:val="1"/>
          <w:sz w:val="28"/>
          <w:szCs w:val="28"/>
          <w:lang w:eastAsia="ar-SA"/>
        </w:rPr>
        <w:t xml:space="preserve"> Фонда пенсионного и социального страхования Российской Федерации по Новосибирской области</w:t>
      </w:r>
      <w:r>
        <w:rPr>
          <w:color w:val="000000"/>
          <w:kern w:val="1"/>
          <w:sz w:val="28"/>
          <w:szCs w:val="28"/>
          <w:lang w:eastAsia="ar-SA"/>
        </w:rPr>
        <w:t xml:space="preserve"> сообщает</w:t>
      </w:r>
      <w:bookmarkStart w:id="0" w:name="_GoBack"/>
      <w:bookmarkEnd w:id="0"/>
      <w:r>
        <w:rPr>
          <w:color w:val="000000"/>
          <w:kern w:val="1"/>
          <w:sz w:val="28"/>
          <w:szCs w:val="28"/>
          <w:lang w:eastAsia="ar-SA"/>
        </w:rPr>
        <w:t>, что</w:t>
      </w:r>
      <w:r w:rsidRPr="007B7209">
        <w:rPr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kern w:val="1"/>
          <w:sz w:val="28"/>
          <w:szCs w:val="28"/>
          <w:lang w:eastAsia="ar-SA"/>
        </w:rPr>
        <w:t>о</w:t>
      </w:r>
      <w:r w:rsidRPr="007B7209">
        <w:rPr>
          <w:sz w:val="28"/>
          <w:szCs w:val="28"/>
          <w:lang w:eastAsia="ar-SA"/>
        </w:rPr>
        <w:t xml:space="preserve">дной из основных задач обязательного социального страхования от несчастных случаев на производстве и профессиональных заболеваний, установленных пунктом 1 статьи 1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– Закон) является задача по </w:t>
      </w:r>
      <w:r w:rsidRPr="007B7209">
        <w:rPr>
          <w:sz w:val="28"/>
          <w:szCs w:val="28"/>
        </w:rPr>
        <w:t>обеспечению предупредительных мер по сокращению</w:t>
      </w:r>
      <w:proofErr w:type="gramEnd"/>
      <w:r w:rsidRPr="007B7209">
        <w:rPr>
          <w:sz w:val="28"/>
          <w:szCs w:val="28"/>
        </w:rPr>
        <w:t xml:space="preserve"> производственного травматизма и профессиональных заболеваний, </w:t>
      </w:r>
      <w:proofErr w:type="gramStart"/>
      <w:r w:rsidRPr="007B7209">
        <w:rPr>
          <w:sz w:val="28"/>
          <w:szCs w:val="28"/>
        </w:rPr>
        <w:t>которая</w:t>
      </w:r>
      <w:proofErr w:type="gramEnd"/>
      <w:r w:rsidRPr="007B7209">
        <w:rPr>
          <w:sz w:val="28"/>
          <w:szCs w:val="28"/>
        </w:rPr>
        <w:t xml:space="preserve"> легла в основу принципа экономической заинтересованности субъектов страхования в улучшении условий и повышении безопасности труда, снижении производственного травматизма и профессиональной заболеваемости, определенного статьей 4 Закона.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7B7209">
        <w:rPr>
          <w:sz w:val="28"/>
          <w:szCs w:val="28"/>
          <w:lang w:eastAsia="ar-SA"/>
        </w:rPr>
        <w:t>Нормативным правовым документом, регулирующим правоотношения между субъектами обязательного социального страхования от несчастных случаев на производстве и профессиональных заболеваний в части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являются Правила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proofErr w:type="gramEnd"/>
      <w:r w:rsidRPr="007B7209">
        <w:rPr>
          <w:sz w:val="28"/>
          <w:szCs w:val="28"/>
          <w:lang w:eastAsia="ar-SA"/>
        </w:rPr>
        <w:t xml:space="preserve">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14.07.2021 № 467н (далее — Правила).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>За счет сумм страховых взносов на обязательное социальное страхование от несчастных случаев на производстве и профессиональных заболеваний с целью</w:t>
      </w:r>
      <w:r w:rsidRPr="007B7209">
        <w:rPr>
          <w:rFonts w:eastAsia="Arial"/>
          <w:sz w:val="28"/>
          <w:szCs w:val="28"/>
          <w:lang w:eastAsia="ar-SA"/>
        </w:rPr>
        <w:t xml:space="preserve"> улучшения условий и охраны труда,</w:t>
      </w:r>
      <w:r w:rsidRPr="007B7209">
        <w:rPr>
          <w:kern w:val="1"/>
          <w:sz w:val="28"/>
          <w:szCs w:val="28"/>
          <w:lang w:eastAsia="ar-SA"/>
        </w:rPr>
        <w:t xml:space="preserve"> сокращения производственного травматизма и профессиональных заболеваний,</w:t>
      </w:r>
      <w:r w:rsidRPr="007B7209">
        <w:rPr>
          <w:sz w:val="28"/>
          <w:szCs w:val="28"/>
          <w:lang w:eastAsia="ar-SA"/>
        </w:rPr>
        <w:t xml:space="preserve"> </w:t>
      </w:r>
      <w:r w:rsidRPr="007B7209">
        <w:rPr>
          <w:kern w:val="1"/>
          <w:sz w:val="28"/>
          <w:szCs w:val="28"/>
          <w:lang w:eastAsia="ar-SA"/>
        </w:rPr>
        <w:t>подлежат расходы страхователя на мероприятия, определенные Правилами.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>Наиболее востребованными страхователями в 2021 – 2022 годах мероприятиями, определенными Правилами, являются: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>- проведение специальной оценки труда;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 xml:space="preserve">- </w:t>
      </w:r>
      <w:r w:rsidRPr="007B7209">
        <w:rPr>
          <w:sz w:val="28"/>
          <w:szCs w:val="28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 xml:space="preserve">- </w:t>
      </w:r>
      <w:r w:rsidRPr="007B7209">
        <w:rPr>
          <w:sz w:val="28"/>
          <w:szCs w:val="28"/>
        </w:rPr>
        <w:t>проведение обязательных периодических медицинских осмотров (обследований) работников;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sz w:val="28"/>
          <w:szCs w:val="28"/>
        </w:rPr>
        <w:t xml:space="preserve">- санаторно-курортное лечение работников не ранее чем за пять лет до достижения ими возраста, дающего право на назначение страховой пенсии по </w:t>
      </w:r>
      <w:r w:rsidRPr="007B7209">
        <w:rPr>
          <w:sz w:val="28"/>
          <w:szCs w:val="28"/>
        </w:rPr>
        <w:lastRenderedPageBreak/>
        <w:t>старости в соответствии с пенсионным законодательством Российской Федерации (</w:t>
      </w:r>
      <w:proofErr w:type="spellStart"/>
      <w:r w:rsidRPr="007B7209">
        <w:rPr>
          <w:sz w:val="28"/>
          <w:szCs w:val="28"/>
        </w:rPr>
        <w:t>предпенсионеры</w:t>
      </w:r>
      <w:proofErr w:type="spellEnd"/>
      <w:r w:rsidRPr="007B7209">
        <w:rPr>
          <w:sz w:val="28"/>
          <w:szCs w:val="28"/>
        </w:rPr>
        <w:t>);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sz w:val="28"/>
          <w:szCs w:val="28"/>
        </w:rPr>
        <w:t>- санаторно-курортное лечение работников, занятых на работах с вредными и (или) опасными производственными факторами;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sz w:val="28"/>
          <w:szCs w:val="28"/>
        </w:rPr>
        <w:t xml:space="preserve">- </w:t>
      </w:r>
      <w:proofErr w:type="gramStart"/>
      <w:r w:rsidRPr="007B7209">
        <w:rPr>
          <w:sz w:val="28"/>
          <w:szCs w:val="28"/>
        </w:rPr>
        <w:t>обучение по охране</w:t>
      </w:r>
      <w:proofErr w:type="gramEnd"/>
      <w:r w:rsidRPr="007B7209">
        <w:rPr>
          <w:sz w:val="28"/>
          <w:szCs w:val="28"/>
        </w:rPr>
        <w:t xml:space="preserve">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объекте;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spacing w:line="100" w:lineRule="atLeast"/>
        <w:ind w:left="0" w:firstLine="709"/>
        <w:jc w:val="both"/>
        <w:rPr>
          <w:sz w:val="28"/>
          <w:szCs w:val="28"/>
          <w:lang w:eastAsia="ar-SA"/>
        </w:rPr>
      </w:pPr>
      <w:r w:rsidRPr="007B7209">
        <w:rPr>
          <w:sz w:val="28"/>
          <w:szCs w:val="28"/>
        </w:rPr>
        <w:t>- приобретение страхователями аптечек для оказания первой помощи.</w:t>
      </w:r>
    </w:p>
    <w:p w:rsidR="0072571A" w:rsidRPr="007B7209" w:rsidRDefault="0072571A" w:rsidP="0072571A">
      <w:pPr>
        <w:widowControl w:val="0"/>
        <w:numPr>
          <w:ilvl w:val="0"/>
          <w:numId w:val="1"/>
        </w:numPr>
        <w:suppressAutoHyphens/>
        <w:autoSpaceDE w:val="0"/>
        <w:spacing w:line="100" w:lineRule="atLeast"/>
        <w:ind w:left="0" w:firstLine="709"/>
        <w:jc w:val="both"/>
        <w:rPr>
          <w:kern w:val="1"/>
          <w:sz w:val="28"/>
          <w:szCs w:val="28"/>
          <w:lang w:eastAsia="ar-SA"/>
        </w:rPr>
      </w:pPr>
      <w:proofErr w:type="gramStart"/>
      <w:r w:rsidRPr="007B7209">
        <w:rPr>
          <w:color w:val="000000"/>
          <w:kern w:val="1"/>
          <w:sz w:val="28"/>
          <w:szCs w:val="28"/>
          <w:lang w:eastAsia="ar-SA"/>
        </w:rPr>
        <w:t>Отделению Фонда пенсионного и социального страхования Российской Федерации по Новосибирской области (далее – ОСФР по Новосибирской области)</w:t>
      </w:r>
      <w:r w:rsidRPr="007B7209">
        <w:rPr>
          <w:sz w:val="28"/>
          <w:szCs w:val="28"/>
          <w:lang w:eastAsia="ar-SA"/>
        </w:rPr>
        <w:t xml:space="preserve"> в рамках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 на 2023 год утверждены ассигнования в размере 345 800 400,00 рублей.</w:t>
      </w:r>
      <w:proofErr w:type="gramEnd"/>
    </w:p>
    <w:p w:rsidR="0072571A" w:rsidRPr="007B7209" w:rsidRDefault="0072571A" w:rsidP="0072571A">
      <w:pPr>
        <w:widowControl w:val="0"/>
        <w:numPr>
          <w:ilvl w:val="0"/>
          <w:numId w:val="1"/>
        </w:numPr>
        <w:suppressAutoHyphens/>
        <w:autoSpaceDE w:val="0"/>
        <w:spacing w:line="100" w:lineRule="atLeast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7B7209">
        <w:rPr>
          <w:sz w:val="28"/>
          <w:szCs w:val="28"/>
          <w:lang w:eastAsia="ar-SA"/>
        </w:rPr>
        <w:t xml:space="preserve">В целях сокращения производственного травматизма и профессиональных заболеваний работников, страхователям необходимо определить мероприятия, предусмотренные Правилами и в соответствии с пунктом 4 Правил обратиться с заявлением о финансовом обеспечении предупредительных мер в срок </w:t>
      </w:r>
      <w:r w:rsidRPr="007B7209">
        <w:rPr>
          <w:b/>
          <w:sz w:val="28"/>
          <w:szCs w:val="28"/>
          <w:lang w:eastAsia="ar-SA"/>
        </w:rPr>
        <w:t>до 1 августа</w:t>
      </w:r>
      <w:r w:rsidRPr="007B7209">
        <w:rPr>
          <w:sz w:val="28"/>
          <w:szCs w:val="28"/>
          <w:lang w:eastAsia="ar-SA"/>
        </w:rPr>
        <w:t xml:space="preserve"> текущего календарного года. Заявление с прилагаемыми к нему документами (копиями документов) и сведениями предоставляется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72571A" w:rsidRPr="007B7209" w:rsidRDefault="0072571A" w:rsidP="0072571A">
      <w:pPr>
        <w:widowControl w:val="0"/>
        <w:numPr>
          <w:ilvl w:val="0"/>
          <w:numId w:val="1"/>
        </w:numPr>
        <w:suppressAutoHyphens/>
        <w:autoSpaceDE w:val="0"/>
        <w:spacing w:line="100" w:lineRule="atLeast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7B7209">
        <w:rPr>
          <w:sz w:val="28"/>
          <w:szCs w:val="28"/>
          <w:lang w:eastAsia="ar-SA"/>
        </w:rPr>
        <w:t xml:space="preserve">Контактные лица ОСФР по Новосибирской области: </w:t>
      </w:r>
      <w:proofErr w:type="spellStart"/>
      <w:proofErr w:type="gramStart"/>
      <w:r w:rsidRPr="007B7209">
        <w:rPr>
          <w:sz w:val="28"/>
          <w:szCs w:val="28"/>
          <w:lang w:eastAsia="ar-SA"/>
        </w:rPr>
        <w:t>Шворень</w:t>
      </w:r>
      <w:proofErr w:type="spellEnd"/>
      <w:r w:rsidRPr="007B7209">
        <w:rPr>
          <w:sz w:val="28"/>
          <w:szCs w:val="28"/>
          <w:lang w:eastAsia="ar-SA"/>
        </w:rPr>
        <w:t xml:space="preserve"> Маргарита Владимировна – начальник управления организации страхования профессиональных рисков, телефон (383) 243-77-47, </w:t>
      </w:r>
      <w:r w:rsidRPr="007B7209">
        <w:rPr>
          <w:sz w:val="28"/>
          <w:szCs w:val="28"/>
          <w:lang w:val="en-US" w:eastAsia="ar-SA"/>
        </w:rPr>
        <w:t>E</w:t>
      </w:r>
      <w:r w:rsidRPr="007B7209">
        <w:rPr>
          <w:sz w:val="28"/>
          <w:szCs w:val="28"/>
          <w:lang w:eastAsia="ar-SA"/>
        </w:rPr>
        <w:t>-</w:t>
      </w:r>
      <w:r w:rsidRPr="007B7209">
        <w:rPr>
          <w:sz w:val="28"/>
          <w:szCs w:val="28"/>
          <w:lang w:val="en-US" w:eastAsia="ar-SA"/>
        </w:rPr>
        <w:t>mail</w:t>
      </w:r>
      <w:r w:rsidRPr="007B7209">
        <w:rPr>
          <w:sz w:val="28"/>
          <w:szCs w:val="28"/>
          <w:lang w:eastAsia="ar-SA"/>
        </w:rPr>
        <w:t xml:space="preserve">: </w:t>
      </w:r>
      <w:hyperlink r:id="rId6" w:history="1"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m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gramEnd"/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schvoren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@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ro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54.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fss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gramStart"/>
      </w:hyperlink>
      <w:r w:rsidRPr="007B7209">
        <w:rPr>
          <w:sz w:val="28"/>
          <w:szCs w:val="28"/>
          <w:lang w:eastAsia="ar-SA"/>
        </w:rPr>
        <w:t xml:space="preserve">, Логинов Игорь Альбертович – начальник отдела организации профилактики производственного травматизма и профессиональных заболеваний Управления организации страхования профессиональных рисков, телефон (383) 373-62-56, </w:t>
      </w:r>
      <w:r w:rsidRPr="007B7209">
        <w:rPr>
          <w:sz w:val="28"/>
          <w:szCs w:val="28"/>
          <w:lang w:val="en-US" w:eastAsia="ar-SA"/>
        </w:rPr>
        <w:t>E</w:t>
      </w:r>
      <w:r w:rsidRPr="007B7209">
        <w:rPr>
          <w:sz w:val="28"/>
          <w:szCs w:val="28"/>
          <w:lang w:eastAsia="ar-SA"/>
        </w:rPr>
        <w:t>-</w:t>
      </w:r>
      <w:r w:rsidRPr="007B7209">
        <w:rPr>
          <w:sz w:val="28"/>
          <w:szCs w:val="28"/>
          <w:lang w:val="en-US" w:eastAsia="ar-SA"/>
        </w:rPr>
        <w:t>mail</w:t>
      </w:r>
      <w:r w:rsidRPr="007B7209">
        <w:rPr>
          <w:sz w:val="28"/>
          <w:szCs w:val="28"/>
          <w:lang w:eastAsia="ar-SA"/>
        </w:rPr>
        <w:t xml:space="preserve">: </w:t>
      </w:r>
      <w:hyperlink r:id="rId7" w:history="1">
        <w:proofErr w:type="gramEnd"/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ia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loginov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@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ro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54.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fss</w:t>
        </w:r>
        <w:r w:rsidRPr="007B7209">
          <w:rPr>
            <w:color w:val="0000FF"/>
            <w:sz w:val="28"/>
            <w:szCs w:val="28"/>
            <w:u w:val="single"/>
            <w:lang w:eastAsia="ar-SA"/>
          </w:rPr>
          <w:t>.</w:t>
        </w:r>
        <w:r w:rsidRPr="007B7209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gramStart"/>
      </w:hyperlink>
      <w:r w:rsidRPr="007B7209">
        <w:rPr>
          <w:sz w:val="28"/>
          <w:szCs w:val="28"/>
          <w:lang w:eastAsia="ar-SA"/>
        </w:rPr>
        <w:t>, Герасименко Маргарита Викторовна – заместитель начальника отдела организации профилактики производственного травматизма и профессиональных заболеваний Управления организации страхования</w:t>
      </w:r>
      <w:proofErr w:type="gramEnd"/>
      <w:r w:rsidRPr="007B7209">
        <w:rPr>
          <w:sz w:val="28"/>
          <w:szCs w:val="28"/>
          <w:lang w:eastAsia="ar-SA"/>
        </w:rPr>
        <w:t xml:space="preserve"> профессиональных рисков, телефон (383) 373-62-56, </w:t>
      </w:r>
      <w:r w:rsidRPr="007B7209">
        <w:rPr>
          <w:sz w:val="28"/>
          <w:szCs w:val="28"/>
          <w:lang w:val="en-US" w:eastAsia="ar-SA"/>
        </w:rPr>
        <w:t>E</w:t>
      </w:r>
      <w:r w:rsidRPr="007B7209">
        <w:rPr>
          <w:sz w:val="28"/>
          <w:szCs w:val="28"/>
          <w:lang w:eastAsia="ar-SA"/>
        </w:rPr>
        <w:t>-</w:t>
      </w:r>
      <w:r w:rsidRPr="007B7209">
        <w:rPr>
          <w:sz w:val="28"/>
          <w:szCs w:val="28"/>
          <w:lang w:val="en-US" w:eastAsia="ar-SA"/>
        </w:rPr>
        <w:t>mail</w:t>
      </w:r>
      <w:r w:rsidRPr="007B7209">
        <w:rPr>
          <w:sz w:val="28"/>
          <w:szCs w:val="28"/>
          <w:lang w:eastAsia="ar-SA"/>
        </w:rPr>
        <w:t xml:space="preserve">: </w:t>
      </w:r>
      <w:hyperlink r:id="rId8" w:history="1">
        <w:r w:rsidRPr="007B7209">
          <w:rPr>
            <w:color w:val="000000"/>
            <w:sz w:val="28"/>
            <w:szCs w:val="28"/>
            <w:u w:val="single"/>
            <w:lang w:val="en-US" w:eastAsia="ar-SA"/>
          </w:rPr>
          <w:t>m</w:t>
        </w:r>
        <w:r w:rsidRPr="007B7209">
          <w:rPr>
            <w:color w:val="000000"/>
            <w:sz w:val="28"/>
            <w:szCs w:val="28"/>
            <w:u w:val="single"/>
            <w:lang w:eastAsia="ar-SA"/>
          </w:rPr>
          <w:t>.</w:t>
        </w:r>
        <w:r w:rsidRPr="007B7209">
          <w:rPr>
            <w:color w:val="000000"/>
            <w:sz w:val="28"/>
            <w:szCs w:val="28"/>
            <w:u w:val="single"/>
            <w:lang w:val="en-US" w:eastAsia="ar-SA"/>
          </w:rPr>
          <w:t>gerasimenko</w:t>
        </w:r>
        <w:r w:rsidRPr="007B7209">
          <w:rPr>
            <w:color w:val="000000"/>
            <w:sz w:val="28"/>
            <w:szCs w:val="28"/>
            <w:u w:val="single"/>
            <w:lang w:eastAsia="ar-SA"/>
          </w:rPr>
          <w:t>@</w:t>
        </w:r>
        <w:r w:rsidRPr="007B7209">
          <w:rPr>
            <w:color w:val="000000"/>
            <w:sz w:val="28"/>
            <w:szCs w:val="28"/>
            <w:u w:val="single"/>
            <w:lang w:val="en-US" w:eastAsia="ar-SA"/>
          </w:rPr>
          <w:t>ro</w:t>
        </w:r>
        <w:r w:rsidRPr="007B7209">
          <w:rPr>
            <w:color w:val="000000"/>
            <w:sz w:val="28"/>
            <w:szCs w:val="28"/>
            <w:u w:val="single"/>
            <w:lang w:eastAsia="ar-SA"/>
          </w:rPr>
          <w:t>54.</w:t>
        </w:r>
        <w:r w:rsidRPr="007B7209">
          <w:rPr>
            <w:color w:val="000000"/>
            <w:sz w:val="28"/>
            <w:szCs w:val="28"/>
            <w:u w:val="single"/>
            <w:lang w:val="en-US" w:eastAsia="ar-SA"/>
          </w:rPr>
          <w:t>fss</w:t>
        </w:r>
        <w:r w:rsidRPr="007B7209">
          <w:rPr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7B7209">
          <w:rPr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7B7209">
        <w:rPr>
          <w:color w:val="000000"/>
          <w:sz w:val="28"/>
          <w:szCs w:val="28"/>
          <w:lang w:eastAsia="ar-SA"/>
        </w:rPr>
        <w:t>.</w:t>
      </w:r>
    </w:p>
    <w:p w:rsidR="0072571A" w:rsidRPr="007B7209" w:rsidRDefault="0072571A" w:rsidP="0072571A">
      <w:pPr>
        <w:widowControl w:val="0"/>
        <w:numPr>
          <w:ilvl w:val="0"/>
          <w:numId w:val="1"/>
        </w:numPr>
        <w:suppressAutoHyphens/>
        <w:autoSpaceDE w:val="0"/>
        <w:spacing w:line="100" w:lineRule="atLeast"/>
        <w:ind w:left="0" w:firstLine="709"/>
        <w:jc w:val="both"/>
        <w:rPr>
          <w:kern w:val="1"/>
          <w:sz w:val="28"/>
          <w:szCs w:val="28"/>
          <w:lang w:eastAsia="ar-SA"/>
        </w:rPr>
      </w:pPr>
      <w:r w:rsidRPr="007B7209">
        <w:rPr>
          <w:kern w:val="1"/>
          <w:sz w:val="28"/>
          <w:szCs w:val="28"/>
          <w:lang w:eastAsia="ar-SA"/>
        </w:rPr>
        <w:t xml:space="preserve">Сообщаем, что по вопросу предоставления в ОСФР по Новосибирской области заявления </w:t>
      </w:r>
      <w:r w:rsidRPr="007B7209">
        <w:rPr>
          <w:sz w:val="28"/>
          <w:szCs w:val="28"/>
          <w:lang w:eastAsia="ar-SA"/>
        </w:rPr>
        <w:t>о финансовом обеспечении предупредительных мер с прилагаемыми к нему документами (копиями документов) и сведениями,</w:t>
      </w:r>
      <w:r w:rsidRPr="007B7209">
        <w:rPr>
          <w:kern w:val="1"/>
          <w:sz w:val="28"/>
          <w:szCs w:val="28"/>
          <w:lang w:eastAsia="ar-SA"/>
        </w:rPr>
        <w:t xml:space="preserve"> с </w:t>
      </w:r>
      <w:r w:rsidRPr="007B7209">
        <w:rPr>
          <w:b/>
          <w:kern w:val="1"/>
          <w:sz w:val="28"/>
          <w:szCs w:val="28"/>
          <w:lang w:eastAsia="ar-SA"/>
        </w:rPr>
        <w:t>1 января 2023 года</w:t>
      </w:r>
      <w:r w:rsidRPr="007B7209">
        <w:rPr>
          <w:kern w:val="1"/>
          <w:sz w:val="28"/>
          <w:szCs w:val="28"/>
          <w:lang w:eastAsia="ar-SA"/>
        </w:rPr>
        <w:t xml:space="preserve"> необходимо обращаться в </w:t>
      </w:r>
      <w:r w:rsidRPr="007B7209">
        <w:rPr>
          <w:b/>
          <w:kern w:val="1"/>
          <w:sz w:val="28"/>
          <w:szCs w:val="28"/>
          <w:lang w:eastAsia="ar-SA"/>
        </w:rPr>
        <w:t>Клиентск</w:t>
      </w:r>
      <w:r>
        <w:rPr>
          <w:b/>
          <w:kern w:val="1"/>
          <w:sz w:val="28"/>
          <w:szCs w:val="28"/>
          <w:lang w:eastAsia="ar-SA"/>
        </w:rPr>
        <w:t xml:space="preserve">ую </w:t>
      </w:r>
      <w:r w:rsidRPr="007B7209">
        <w:rPr>
          <w:b/>
          <w:kern w:val="1"/>
          <w:sz w:val="28"/>
          <w:szCs w:val="28"/>
          <w:lang w:eastAsia="ar-SA"/>
        </w:rPr>
        <w:t xml:space="preserve"> служб</w:t>
      </w:r>
      <w:r>
        <w:rPr>
          <w:b/>
          <w:kern w:val="1"/>
          <w:sz w:val="28"/>
          <w:szCs w:val="28"/>
          <w:lang w:eastAsia="ar-SA"/>
        </w:rPr>
        <w:t>у</w:t>
      </w:r>
      <w:r w:rsidRPr="007B7209">
        <w:rPr>
          <w:kern w:val="1"/>
          <w:sz w:val="28"/>
          <w:szCs w:val="28"/>
          <w:lang w:eastAsia="ar-SA"/>
        </w:rPr>
        <w:t xml:space="preserve"> (</w:t>
      </w:r>
      <w:r>
        <w:rPr>
          <w:kern w:val="1"/>
          <w:sz w:val="28"/>
          <w:szCs w:val="28"/>
          <w:lang w:eastAsia="ar-SA"/>
        </w:rPr>
        <w:t>г. Барабинск, ул. Комарова, д.23а</w:t>
      </w:r>
      <w:r w:rsidRPr="007B7209">
        <w:rPr>
          <w:kern w:val="1"/>
          <w:sz w:val="28"/>
          <w:szCs w:val="28"/>
          <w:lang w:eastAsia="ar-SA"/>
        </w:rPr>
        <w:t>).</w:t>
      </w:r>
    </w:p>
    <w:p w:rsidR="0072571A" w:rsidRPr="007B7209" w:rsidRDefault="0072571A" w:rsidP="0072571A">
      <w:pPr>
        <w:numPr>
          <w:ilvl w:val="0"/>
          <w:numId w:val="1"/>
        </w:numPr>
        <w:suppressAutoHyphens/>
        <w:autoSpaceDN w:val="0"/>
        <w:spacing w:line="100" w:lineRule="atLeast"/>
        <w:ind w:left="0" w:firstLine="709"/>
        <w:jc w:val="both"/>
        <w:textAlignment w:val="baseline"/>
        <w:rPr>
          <w:rFonts w:eastAsia="Andale Sans UI" w:cs="Tahoma"/>
          <w:bCs/>
          <w:kern w:val="3"/>
          <w:sz w:val="28"/>
          <w:szCs w:val="28"/>
          <w:lang w:eastAsia="ja-JP" w:bidi="fa-IR"/>
        </w:rPr>
      </w:pP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>При обращении в Клиентск</w:t>
      </w:r>
      <w:r>
        <w:rPr>
          <w:rFonts w:eastAsia="Andale Sans UI" w:cs="Tahoma"/>
          <w:bCs/>
          <w:kern w:val="3"/>
          <w:sz w:val="28"/>
          <w:szCs w:val="28"/>
          <w:lang w:eastAsia="ja-JP" w:bidi="fa-IR"/>
        </w:rPr>
        <w:t>ую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служб</w:t>
      </w:r>
      <w:r>
        <w:rPr>
          <w:rFonts w:eastAsia="Andale Sans UI" w:cs="Tahoma"/>
          <w:bCs/>
          <w:kern w:val="3"/>
          <w:sz w:val="28"/>
          <w:szCs w:val="28"/>
          <w:lang w:eastAsia="ja-JP" w:bidi="fa-IR"/>
        </w:rPr>
        <w:t>у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возможна предварительная запись через сайт ПФР </w:t>
      </w:r>
      <w:hyperlink r:id="rId9" w:history="1">
        <w:r w:rsidRPr="007B7209">
          <w:rPr>
            <w:rFonts w:eastAsia="Calibri" w:cs="Tahoma"/>
            <w:color w:val="0000FF"/>
            <w:kern w:val="3"/>
            <w:sz w:val="28"/>
            <w:szCs w:val="28"/>
            <w:u w:val="single"/>
            <w:lang w:val="en-US" w:eastAsia="en-US"/>
          </w:rPr>
          <w:t>www</w:t>
        </w:r>
      </w:hyperlink>
      <w:hyperlink r:id="rId10" w:history="1"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eastAsia="en-US"/>
          </w:rPr>
          <w:t>.</w:t>
        </w:r>
      </w:hyperlink>
      <w:hyperlink r:id="rId11" w:history="1">
        <w:proofErr w:type="spellStart"/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val="en-US" w:eastAsia="en-US"/>
          </w:rPr>
          <w:t>pfr</w:t>
        </w:r>
        <w:proofErr w:type="spellEnd"/>
      </w:hyperlink>
      <w:hyperlink r:id="rId12" w:history="1"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eastAsia="en-US"/>
          </w:rPr>
          <w:t>.</w:t>
        </w:r>
      </w:hyperlink>
      <w:hyperlink r:id="rId13" w:history="1">
        <w:proofErr w:type="spellStart"/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val="en-US" w:eastAsia="en-US"/>
          </w:rPr>
          <w:t>gov</w:t>
        </w:r>
        <w:proofErr w:type="spellEnd"/>
      </w:hyperlink>
      <w:hyperlink r:id="rId14" w:history="1"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eastAsia="en-US"/>
          </w:rPr>
          <w:t>.</w:t>
        </w:r>
      </w:hyperlink>
      <w:hyperlink r:id="rId15" w:history="1">
        <w:proofErr w:type="spellStart"/>
        <w:r w:rsidRPr="007B7209">
          <w:rPr>
            <w:rFonts w:eastAsia="Calibri" w:cs="Tahoma"/>
            <w:color w:val="000080"/>
            <w:kern w:val="3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B7209">
        <w:rPr>
          <w:rFonts w:eastAsia="Calibri" w:cs="Tahoma"/>
          <w:color w:val="000080"/>
          <w:kern w:val="3"/>
          <w:sz w:val="28"/>
          <w:szCs w:val="28"/>
          <w:u w:val="single"/>
          <w:lang w:eastAsia="en-US"/>
        </w:rPr>
        <w:t xml:space="preserve"> </w:t>
      </w:r>
      <w:r w:rsidRPr="007B7209">
        <w:rPr>
          <w:rFonts w:eastAsia="Calibri" w:cs="Tahoma"/>
          <w:color w:val="000080"/>
          <w:kern w:val="3"/>
          <w:sz w:val="32"/>
          <w:szCs w:val="32"/>
          <w:u w:val="single"/>
          <w:lang w:eastAsia="en-US"/>
        </w:rPr>
        <w:t xml:space="preserve"> </w:t>
      </w:r>
      <w:r w:rsidRPr="007B7209">
        <w:rPr>
          <w:rFonts w:eastAsia="Calibri" w:cs="Tahoma"/>
          <w:color w:val="000000"/>
          <w:kern w:val="3"/>
          <w:sz w:val="28"/>
          <w:szCs w:val="28"/>
          <w:lang w:eastAsia="en-US"/>
        </w:rPr>
        <w:t>(в том числе, без регистрации в ЕСИА), а также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 по номеру телефона: 8-800-600-07-20, </w:t>
      </w:r>
      <w:r w:rsidRPr="007B720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при этом, 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 xml:space="preserve">необходимо 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lastRenderedPageBreak/>
        <w:t>предоставление документа</w:t>
      </w:r>
      <w:r w:rsidRPr="007B7209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удостоверяющего личность, а в случае представления интересов страхователя наличие </w:t>
      </w:r>
      <w:r w:rsidRPr="007B7209">
        <w:rPr>
          <w:rFonts w:eastAsia="Andale Sans UI" w:cs="Tahoma"/>
          <w:bCs/>
          <w:kern w:val="3"/>
          <w:sz w:val="28"/>
          <w:szCs w:val="28"/>
          <w:lang w:eastAsia="ja-JP" w:bidi="fa-IR"/>
        </w:rPr>
        <w:t>доверенности.</w:t>
      </w:r>
    </w:p>
    <w:p w:rsidR="00E1314F" w:rsidRDefault="00E1314F"/>
    <w:sectPr w:rsidR="00E1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1A"/>
    <w:rsid w:val="0072571A"/>
    <w:rsid w:val="00E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571A"/>
    <w:pPr>
      <w:keepNext/>
      <w:numPr>
        <w:ilvl w:val="1"/>
        <w:numId w:val="1"/>
      </w:numPr>
      <w:tabs>
        <w:tab w:val="clear" w:pos="0"/>
      </w:tabs>
      <w:ind w:left="0" w:firstLine="0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0"/>
    <w:link w:val="30"/>
    <w:qFormat/>
    <w:rsid w:val="0072571A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Calibri Light" w:hAnsi="Calibri Light" w:cs="font282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72571A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Calibri" w:hAnsi="Calibri" w:cs="font282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72571A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hAnsi="Calibri" w:cs="font282"/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72571A"/>
    <w:pPr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Calibri" w:hAnsi="Calibri" w:cs="font282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72571A"/>
    <w:pPr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Calibri" w:hAnsi="Calibri" w:cs="font282"/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72571A"/>
    <w:pPr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Calibri" w:hAnsi="Calibri" w:cs="font282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72571A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Calibri Light" w:hAnsi="Calibri Light" w:cs="font282"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571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2571A"/>
    <w:rPr>
      <w:rFonts w:ascii="Calibri Light" w:eastAsia="Times New Roman" w:hAnsi="Calibri Light" w:cs="font282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72571A"/>
    <w:rPr>
      <w:rFonts w:ascii="Calibri" w:eastAsia="Times New Roman" w:hAnsi="Calibri" w:cs="font282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72571A"/>
    <w:rPr>
      <w:rFonts w:ascii="Calibri" w:eastAsia="Times New Roman" w:hAnsi="Calibri" w:cs="font282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2571A"/>
    <w:rPr>
      <w:rFonts w:ascii="Calibri" w:eastAsia="Times New Roman" w:hAnsi="Calibri" w:cs="font282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rsid w:val="0072571A"/>
    <w:rPr>
      <w:rFonts w:ascii="Calibri" w:eastAsia="Times New Roman" w:hAnsi="Calibri" w:cs="font282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72571A"/>
    <w:rPr>
      <w:rFonts w:ascii="Calibri" w:eastAsia="Times New Roman" w:hAnsi="Calibri" w:cs="font282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72571A"/>
    <w:rPr>
      <w:rFonts w:ascii="Calibri Light" w:eastAsia="Times New Roman" w:hAnsi="Calibri Light" w:cs="font282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257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25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571A"/>
    <w:pPr>
      <w:keepNext/>
      <w:numPr>
        <w:ilvl w:val="1"/>
        <w:numId w:val="1"/>
      </w:numPr>
      <w:tabs>
        <w:tab w:val="clear" w:pos="0"/>
      </w:tabs>
      <w:ind w:left="0" w:firstLine="0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0"/>
    <w:link w:val="30"/>
    <w:qFormat/>
    <w:rsid w:val="0072571A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Calibri Light" w:hAnsi="Calibri Light" w:cs="font282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72571A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Calibri" w:hAnsi="Calibri" w:cs="font282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72571A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hAnsi="Calibri" w:cs="font282"/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72571A"/>
    <w:pPr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Calibri" w:hAnsi="Calibri" w:cs="font282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72571A"/>
    <w:pPr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Calibri" w:hAnsi="Calibri" w:cs="font282"/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72571A"/>
    <w:pPr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Calibri" w:hAnsi="Calibri" w:cs="font282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72571A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Calibri Light" w:hAnsi="Calibri Light" w:cs="font282"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571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2571A"/>
    <w:rPr>
      <w:rFonts w:ascii="Calibri Light" w:eastAsia="Times New Roman" w:hAnsi="Calibri Light" w:cs="font282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72571A"/>
    <w:rPr>
      <w:rFonts w:ascii="Calibri" w:eastAsia="Times New Roman" w:hAnsi="Calibri" w:cs="font282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72571A"/>
    <w:rPr>
      <w:rFonts w:ascii="Calibri" w:eastAsia="Times New Roman" w:hAnsi="Calibri" w:cs="font282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2571A"/>
    <w:rPr>
      <w:rFonts w:ascii="Calibri" w:eastAsia="Times New Roman" w:hAnsi="Calibri" w:cs="font282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rsid w:val="0072571A"/>
    <w:rPr>
      <w:rFonts w:ascii="Calibri" w:eastAsia="Times New Roman" w:hAnsi="Calibri" w:cs="font282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72571A"/>
    <w:rPr>
      <w:rFonts w:ascii="Calibri" w:eastAsia="Times New Roman" w:hAnsi="Calibri" w:cs="font282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72571A"/>
    <w:rPr>
      <w:rFonts w:ascii="Calibri Light" w:eastAsia="Times New Roman" w:hAnsi="Calibri Light" w:cs="font282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257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25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erasimenko@ro54.fss.ru" TargetMode="External"/><Relationship Id="rId13" Type="http://schemas.openxmlformats.org/officeDocument/2006/relationships/hyperlink" Target="http://www.pf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a.loginov@ro54.fss.ru" TargetMode="External"/><Relationship Id="rId12" Type="http://schemas.openxmlformats.org/officeDocument/2006/relationships/hyperlink" Target="http://www.pfr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.schvoren@ro54.fss.ru" TargetMode="External"/><Relationship Id="rId11" Type="http://schemas.openxmlformats.org/officeDocument/2006/relationships/hyperlink" Target="http://www.pf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.gov.ru/" TargetMode="External"/><Relationship Id="rId10" Type="http://schemas.openxmlformats.org/officeDocument/2006/relationships/hyperlink" Target="http://www.pf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5019</Characters>
  <Application>Microsoft Office Word</Application>
  <DocSecurity>0</DocSecurity>
  <Lines>41</Lines>
  <Paragraphs>11</Paragraphs>
  <ScaleCrop>false</ScaleCrop>
  <Company>Home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2023-02-28T02:30:00Z</dcterms:created>
  <dcterms:modified xsi:type="dcterms:W3CDTF">2023-02-28T02:33:00Z</dcterms:modified>
</cp:coreProperties>
</file>