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B6" w:rsidRDefault="004441B6" w:rsidP="004441B6">
      <w:pPr>
        <w:tabs>
          <w:tab w:val="left" w:pos="142"/>
        </w:tabs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-462915</wp:posOffset>
            </wp:positionV>
            <wp:extent cx="781050" cy="92392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1B6" w:rsidRDefault="004441B6" w:rsidP="00C47EF7">
      <w:pPr>
        <w:spacing w:after="0"/>
        <w:jc w:val="center"/>
        <w:rPr>
          <w:b/>
          <w:sz w:val="28"/>
          <w:szCs w:val="28"/>
        </w:rPr>
      </w:pPr>
    </w:p>
    <w:p w:rsidR="004441B6" w:rsidRPr="004441B6" w:rsidRDefault="004441B6" w:rsidP="00C47EF7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4441B6" w:rsidRPr="004441B6" w:rsidRDefault="004441B6" w:rsidP="00C47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t xml:space="preserve">БАРАБИНСКИЙ РАЙОН </w:t>
      </w:r>
    </w:p>
    <w:p w:rsidR="004441B6" w:rsidRPr="004441B6" w:rsidRDefault="004441B6" w:rsidP="00C47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41B6" w:rsidRPr="004441B6" w:rsidRDefault="004441B6" w:rsidP="00C47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t xml:space="preserve"> от  09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441B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441B6"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ab/>
      </w:r>
      <w:r w:rsidRPr="004441B6">
        <w:rPr>
          <w:rFonts w:ascii="Times New Roman" w:hAnsi="Times New Roman" w:cs="Times New Roman"/>
          <w:b/>
          <w:sz w:val="28"/>
          <w:szCs w:val="28"/>
        </w:rPr>
        <w:tab/>
        <w:t>г. Барабинск</w:t>
      </w:r>
    </w:p>
    <w:p w:rsidR="004441B6" w:rsidRPr="004441B6" w:rsidRDefault="004441B6" w:rsidP="004441B6">
      <w:pPr>
        <w:pStyle w:val="2"/>
        <w:rPr>
          <w:b/>
          <w:szCs w:val="28"/>
        </w:rPr>
      </w:pPr>
      <w:r w:rsidRPr="004441B6">
        <w:rPr>
          <w:b/>
          <w:szCs w:val="28"/>
        </w:rPr>
        <w:t>Рекомендации</w:t>
      </w:r>
    </w:p>
    <w:p w:rsidR="004441B6" w:rsidRPr="004441B6" w:rsidRDefault="004441B6" w:rsidP="004441B6">
      <w:pPr>
        <w:tabs>
          <w:tab w:val="left" w:pos="142"/>
        </w:tabs>
        <w:ind w:right="252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t xml:space="preserve">по  проекту решения «О бюджете </w:t>
      </w:r>
      <w:proofErr w:type="spellStart"/>
      <w:r w:rsidRPr="004441B6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 год и плановый период 2024и 2025 годов»</w:t>
      </w:r>
    </w:p>
    <w:p w:rsidR="00C47EF7" w:rsidRDefault="004441B6" w:rsidP="00C47EF7">
      <w:pPr>
        <w:tabs>
          <w:tab w:val="left" w:pos="142"/>
        </w:tabs>
        <w:spacing w:after="0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                Заслушав и обсудив доклад о проекте решения «О бюджете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2024-2025годы», рассмотрев поступившие предложения, участники публичных </w:t>
      </w:r>
      <w:proofErr w:type="gramStart"/>
      <w:r w:rsidRPr="004441B6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Pr="004441B6">
        <w:rPr>
          <w:rFonts w:ascii="Times New Roman" w:hAnsi="Times New Roman" w:cs="Times New Roman"/>
          <w:sz w:val="28"/>
          <w:szCs w:val="28"/>
        </w:rPr>
        <w:t xml:space="preserve"> отмечают следующее. </w:t>
      </w:r>
    </w:p>
    <w:p w:rsidR="004441B6" w:rsidRPr="004441B6" w:rsidRDefault="00C47EF7" w:rsidP="00C47EF7">
      <w:pPr>
        <w:tabs>
          <w:tab w:val="left" w:pos="142"/>
        </w:tabs>
        <w:spacing w:after="0"/>
        <w:ind w:righ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1B6" w:rsidRPr="00444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1B6" w:rsidRPr="004441B6">
        <w:rPr>
          <w:rFonts w:ascii="Times New Roman" w:hAnsi="Times New Roman" w:cs="Times New Roman"/>
          <w:sz w:val="28"/>
          <w:szCs w:val="28"/>
        </w:rPr>
        <w:t xml:space="preserve">Проект решения «О   бюджете </w:t>
      </w:r>
      <w:proofErr w:type="spellStart"/>
      <w:r w:rsidR="004441B6"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441B6" w:rsidRPr="004441B6">
        <w:rPr>
          <w:rFonts w:ascii="Times New Roman" w:hAnsi="Times New Roman" w:cs="Times New Roman"/>
          <w:sz w:val="28"/>
          <w:szCs w:val="28"/>
        </w:rPr>
        <w:t xml:space="preserve"> района  на 2023  год и плановый период 2024 и 2025 годов» подготовлен в соответствии с требованиями Бюджетного кодекса Российской Федерации и Положения «О  бюджетном процессе в Барабинском районе », прогнозом социально-экономического развития  </w:t>
      </w:r>
      <w:proofErr w:type="spellStart"/>
      <w:r w:rsidR="004441B6"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441B6" w:rsidRPr="004441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</w:t>
      </w:r>
      <w:r w:rsidR="004441B6" w:rsidRPr="004441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41B6" w:rsidRPr="004441B6">
        <w:rPr>
          <w:rFonts w:ascii="Times New Roman" w:hAnsi="Times New Roman" w:cs="Times New Roman"/>
          <w:sz w:val="28"/>
          <w:szCs w:val="28"/>
        </w:rPr>
        <w:t>и основными направлениями бюджетной и налоговой политики.</w:t>
      </w:r>
      <w:proofErr w:type="gramEnd"/>
    </w:p>
    <w:p w:rsidR="004441B6" w:rsidRDefault="004441B6" w:rsidP="00C47E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       Основной целью бюджетной и налоговой  политики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2023-2025 годы является </w:t>
      </w:r>
      <w:r w:rsidRPr="004441B6">
        <w:rPr>
          <w:rFonts w:ascii="Times New Roman" w:hAnsi="Times New Roman" w:cs="Times New Roman"/>
          <w:sz w:val="28"/>
          <w:szCs w:val="28"/>
          <w:lang w:eastAsia="en-US"/>
        </w:rPr>
        <w:t>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льгот.</w:t>
      </w:r>
    </w:p>
    <w:p w:rsidR="004441B6" w:rsidRDefault="004441B6" w:rsidP="00C47E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  Основные задачи бюджетной, налоговой и долговой политики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на 2023-2025 годы при формировании проекта бюджета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2024-2025 годы заключаются в продолжени</w:t>
      </w:r>
      <w:proofErr w:type="gramStart"/>
      <w:r w:rsidRPr="004441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41B6">
        <w:rPr>
          <w:rFonts w:ascii="Times New Roman" w:hAnsi="Times New Roman" w:cs="Times New Roman"/>
          <w:sz w:val="28"/>
          <w:szCs w:val="28"/>
        </w:rPr>
        <w:t xml:space="preserve"> реализации мер, направленных на увеличение налогового потенциала бюджета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повышение уровня собственных доходов и эффективности бюджетных расходов.</w:t>
      </w:r>
    </w:p>
    <w:p w:rsidR="004441B6" w:rsidRPr="004441B6" w:rsidRDefault="004441B6" w:rsidP="004441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 Основные параметры бюджета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2024-2025 годы.</w:t>
      </w:r>
    </w:p>
    <w:p w:rsidR="004441B6" w:rsidRPr="004441B6" w:rsidRDefault="004441B6" w:rsidP="004441B6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4441B6">
        <w:rPr>
          <w:color w:val="000000"/>
          <w:sz w:val="28"/>
          <w:szCs w:val="28"/>
        </w:rPr>
        <w:t xml:space="preserve"> </w:t>
      </w:r>
      <w:r w:rsidRPr="004441B6">
        <w:rPr>
          <w:sz w:val="28"/>
          <w:szCs w:val="28"/>
        </w:rPr>
        <w:t xml:space="preserve"> Бюджет </w:t>
      </w:r>
      <w:proofErr w:type="spellStart"/>
      <w:r w:rsidRPr="004441B6">
        <w:rPr>
          <w:sz w:val="28"/>
          <w:szCs w:val="28"/>
        </w:rPr>
        <w:t>Барабинского</w:t>
      </w:r>
      <w:proofErr w:type="spellEnd"/>
      <w:r w:rsidRPr="004441B6">
        <w:rPr>
          <w:sz w:val="28"/>
          <w:szCs w:val="28"/>
        </w:rPr>
        <w:t xml:space="preserve"> района по доходам в 2023 году составит 2 227 861,7 тыс. руб., на 2024 год составит в сумме 1 688 629,0 тыс. руб., на 2025 год в сумме 1 680 621,8 тыс. руб.</w:t>
      </w:r>
    </w:p>
    <w:p w:rsidR="004441B6" w:rsidRPr="004441B6" w:rsidRDefault="004441B6" w:rsidP="00444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и неналоговые доходы бюджета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составят на 2023 год в сумме 268 153,2 тыс. руб., на 2024 год в сумме 260 894,0 тыс. руб., на 2025 год в сумме 277 116,1 тыс. руб. 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Основными доходными источниками   являются: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- налог на доходы физических лиц (68,4%);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- транспортный налог (5,4%)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- налоги на совокупный доход (18,0%);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- доходы от оказания платных услуг и компенсации затрат государства (3,4%)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Субвенции составляют на 2023 год сумму в размере 903 988,2 тыс. руб., в 2024 году в размере 999 765,2 тыс. руб., на 2025 году в размере 1 022 958,78 </w:t>
      </w:r>
      <w:r w:rsidRPr="004441B6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Объем субсидий на 2023 год составит в сумме 879 437,5</w:t>
      </w:r>
      <w:r w:rsidRPr="00444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1B6">
        <w:rPr>
          <w:rFonts w:ascii="Times New Roman" w:hAnsi="Times New Roman" w:cs="Times New Roman"/>
          <w:sz w:val="28"/>
          <w:szCs w:val="28"/>
        </w:rPr>
        <w:t>тыс. руб., на 2024 год в сумме 307 121,4 тыс. руб., на 2025 год в сумме 256 501,8 тыс. руб</w:t>
      </w:r>
      <w:proofErr w:type="gramStart"/>
      <w:r w:rsidRPr="004441B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441B6" w:rsidRPr="004441B6" w:rsidRDefault="004441B6" w:rsidP="004441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bCs/>
          <w:sz w:val="28"/>
          <w:szCs w:val="28"/>
        </w:rPr>
        <w:t>Иные межбюджетные трансферты на 2023 год составят в сумме 38 626,0 тыс. руб., на 2024 год в сумме 39 981,4 тыс. руб., на 2025 год в сумме 38 456,6 тыс. руб</w:t>
      </w:r>
      <w:proofErr w:type="gramStart"/>
      <w:r w:rsidRPr="004441B6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4441B6" w:rsidRPr="004441B6" w:rsidRDefault="004441B6" w:rsidP="0044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 На первом этапе формирования расходной части  бюджета 2023 года за основу представлены бюджетные заявки учреждений. Исходя из объема собственных доходов бюджета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района, безвозмездных поступлений из областного бюджета, проведенного анализа  расходных полномочий  муниципального района в 2023 году предусмотрено:</w:t>
      </w:r>
    </w:p>
    <w:p w:rsidR="004441B6" w:rsidRPr="004441B6" w:rsidRDefault="004441B6" w:rsidP="004441B6">
      <w:pPr>
        <w:pStyle w:val="21"/>
        <w:spacing w:line="240" w:lineRule="auto"/>
        <w:jc w:val="both"/>
        <w:rPr>
          <w:sz w:val="28"/>
          <w:szCs w:val="28"/>
        </w:rPr>
      </w:pPr>
      <w:r w:rsidRPr="004441B6">
        <w:rPr>
          <w:sz w:val="28"/>
          <w:szCs w:val="28"/>
        </w:rPr>
        <w:t>1)  за счет средств местного бюджета на 2023 год:</w:t>
      </w:r>
    </w:p>
    <w:p w:rsidR="004441B6" w:rsidRDefault="004441B6" w:rsidP="004441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- фонд оплаты труда с учетом увеличения фонда заработной платы работникам бюджетной сферы в соответствии с Указом Президента РФ от 07.05.2012 № 597 «О мероприятиях по реализации государственной социальной политики», индексация фонда оплаты труда прочего персонала на с 01.07.2022 г на 10 %, с 01.10.2022 г на 4,0 %, доведение минимальной оплаты труда не менее 19098,75 рублей</w:t>
      </w:r>
      <w:proofErr w:type="gramStart"/>
      <w:r w:rsidRPr="004441B6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4441B6" w:rsidRPr="004441B6" w:rsidRDefault="004441B6" w:rsidP="004441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- уплата в полном объеме налогов  и других  платежей   в бюджеты.</w:t>
      </w:r>
    </w:p>
    <w:p w:rsidR="004441B6" w:rsidRPr="004441B6" w:rsidRDefault="004441B6" w:rsidP="004441B6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индексация коммунальных услуг, услуг связи</w:t>
      </w:r>
      <w:proofErr w:type="gramStart"/>
      <w:r w:rsidRPr="004441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1B6">
        <w:rPr>
          <w:rFonts w:ascii="Times New Roman" w:hAnsi="Times New Roman" w:cs="Times New Roman"/>
          <w:sz w:val="28"/>
          <w:szCs w:val="28"/>
        </w:rPr>
        <w:t xml:space="preserve"> услуги по обслуживанию программных продуктов на 10 % к  расходам 2022 г.</w:t>
      </w:r>
    </w:p>
    <w:p w:rsidR="004441B6" w:rsidRPr="004441B6" w:rsidRDefault="004441B6" w:rsidP="004441B6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остальные расходы планировались на уровне 2022г в целях оптимизации, эффективности расходов  и сбалансированности бюджета</w:t>
      </w:r>
    </w:p>
    <w:p w:rsidR="004441B6" w:rsidRPr="004441B6" w:rsidRDefault="004441B6" w:rsidP="004441B6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441B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государственных   программ Новосибирской области.</w:t>
      </w:r>
    </w:p>
    <w:p w:rsidR="004441B6" w:rsidRPr="004441B6" w:rsidRDefault="004441B6" w:rsidP="004441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На 2024-2025 годы бюджетные ассигнования сформированы только на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государственных программ, публичные обязательства, на обязательные расходы в части  заработной платы с начислениями, в связи с </w:t>
      </w:r>
      <w:r w:rsidRPr="004441B6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отсутствием субсидии на сбалансированность бюджетов в бюджете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47EF7" w:rsidRDefault="004441B6" w:rsidP="00C47E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в 2023 году составят в сумме  2 249 411,7 тыс</w:t>
      </w:r>
      <w:proofErr w:type="gramStart"/>
      <w:r w:rsidRPr="004441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41B6">
        <w:rPr>
          <w:rFonts w:ascii="Times New Roman" w:hAnsi="Times New Roman" w:cs="Times New Roman"/>
          <w:sz w:val="28"/>
          <w:szCs w:val="28"/>
        </w:rPr>
        <w:t xml:space="preserve">ублей, в  2024 году  в сумме 1 710 179,0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>, в  2025 году в сумме 1 702 171,8 тыс.руб., с дефицитом бюджета в 2023 году в сумме 21 550,0 тыс.рублей, в 2024 году в сумме 21 550,0 тыс.рублей, в 2025 году в сумме 21 550,0 тыс</w:t>
      </w:r>
      <w:proofErr w:type="gramStart"/>
      <w:r w:rsidRPr="004441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41B6">
        <w:rPr>
          <w:rFonts w:ascii="Times New Roman" w:hAnsi="Times New Roman" w:cs="Times New Roman"/>
          <w:sz w:val="28"/>
          <w:szCs w:val="28"/>
        </w:rPr>
        <w:t>ублей.</w:t>
      </w:r>
    </w:p>
    <w:p w:rsidR="004441B6" w:rsidRPr="004441B6" w:rsidRDefault="004441B6" w:rsidP="00C47E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441B6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прогноз основных характеристик  проекта бюджета </w:t>
      </w:r>
      <w:proofErr w:type="spellStart"/>
      <w:r w:rsidRPr="004441B6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2023 год и плановый период 2024 и 2025 годов составит</w:t>
      </w:r>
      <w:r w:rsidRPr="00444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441B6" w:rsidRPr="004441B6" w:rsidRDefault="004441B6" w:rsidP="004441B6">
      <w:pPr>
        <w:pStyle w:val="a3"/>
        <w:ind w:left="-142"/>
        <w:jc w:val="both"/>
        <w:rPr>
          <w:b w:val="0"/>
          <w:szCs w:val="28"/>
        </w:rPr>
      </w:pPr>
      <w:r w:rsidRPr="004441B6">
        <w:rPr>
          <w:szCs w:val="28"/>
        </w:rPr>
        <w:t xml:space="preserve">                                                                                         </w:t>
      </w:r>
      <w:r w:rsidRPr="004441B6">
        <w:rPr>
          <w:b w:val="0"/>
          <w:szCs w:val="28"/>
        </w:rPr>
        <w:t>тыс. руб.</w:t>
      </w:r>
    </w:p>
    <w:tbl>
      <w:tblPr>
        <w:tblW w:w="8960" w:type="dxa"/>
        <w:tblInd w:w="113" w:type="dxa"/>
        <w:tblLook w:val="04A0"/>
      </w:tblPr>
      <w:tblGrid>
        <w:gridCol w:w="3935"/>
        <w:gridCol w:w="1700"/>
        <w:gridCol w:w="1546"/>
        <w:gridCol w:w="1779"/>
      </w:tblGrid>
      <w:tr w:rsidR="004441B6" w:rsidRPr="004441B6" w:rsidTr="009236F2">
        <w:trPr>
          <w:trHeight w:val="61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C47E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параметры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C47E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бюджета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B6" w:rsidRPr="004441B6" w:rsidRDefault="004441B6" w:rsidP="00C47E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всего,</w:t>
            </w: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2 227 861,7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1 688 629,0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1 680 621,8</w:t>
            </w:r>
          </w:p>
        </w:tc>
      </w:tr>
      <w:tr w:rsidR="004441B6" w:rsidRPr="004441B6" w:rsidTr="009236F2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 (с учетом передачи дополнительных нормативов)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268 153,2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260 894,0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277 116,0</w:t>
            </w:r>
          </w:p>
        </w:tc>
      </w:tr>
      <w:tr w:rsidR="004441B6" w:rsidRPr="004441B6" w:rsidTr="009236F2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всего,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1 959 708,5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1 427 735,0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1 403 505,8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137 456,8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80 637,0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85 388,6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879 437,5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307 121,4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256 501,8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903 988,2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999 765,2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1 022 958,8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38 626,0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39 981,4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38 456,6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2 249 411,7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1 710 179,0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1 702 171,8</w:t>
            </w:r>
          </w:p>
        </w:tc>
      </w:tr>
      <w:tr w:rsidR="004441B6" w:rsidRPr="004441B6" w:rsidTr="009236F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 (+</w:t>
            </w:r>
            <w:proofErr w:type="spellStart"/>
            <w:r w:rsidRPr="00444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</w:t>
            </w:r>
            <w:proofErr w:type="spellEnd"/>
            <w:r w:rsidRPr="00444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-21 550,0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-21 550,0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B6" w:rsidRPr="004441B6" w:rsidRDefault="004441B6" w:rsidP="00444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1B6">
              <w:rPr>
                <w:rFonts w:ascii="Times New Roman" w:hAnsi="Times New Roman" w:cs="Times New Roman"/>
                <w:sz w:val="28"/>
                <w:szCs w:val="28"/>
              </w:rPr>
              <w:t>-21 550,0</w:t>
            </w:r>
          </w:p>
        </w:tc>
      </w:tr>
    </w:tbl>
    <w:p w:rsidR="004441B6" w:rsidRPr="004441B6" w:rsidRDefault="004441B6" w:rsidP="004441B6">
      <w:pPr>
        <w:tabs>
          <w:tab w:val="left" w:pos="142"/>
        </w:tabs>
        <w:ind w:right="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1B6" w:rsidRPr="004441B6" w:rsidRDefault="004441B6" w:rsidP="004441B6">
      <w:pPr>
        <w:tabs>
          <w:tab w:val="left" w:pos="142"/>
        </w:tabs>
        <w:ind w:right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     </w:t>
      </w:r>
      <w:r w:rsidRPr="004441B6">
        <w:rPr>
          <w:rFonts w:ascii="Times New Roman" w:hAnsi="Times New Roman" w:cs="Times New Roman"/>
          <w:b/>
          <w:sz w:val="28"/>
          <w:szCs w:val="28"/>
        </w:rPr>
        <w:t xml:space="preserve">По итогам обсуждения проекта бюджета </w:t>
      </w:r>
      <w:proofErr w:type="spellStart"/>
      <w:r w:rsidRPr="004441B6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 год и плановый период 2024-2025 годов, участники публичных слушаний рекомендуют:</w:t>
      </w:r>
    </w:p>
    <w:p w:rsidR="004441B6" w:rsidRPr="004441B6" w:rsidRDefault="004441B6" w:rsidP="004441B6">
      <w:pPr>
        <w:tabs>
          <w:tab w:val="left" w:pos="142"/>
        </w:tabs>
        <w:spacing w:after="0"/>
        <w:ind w:right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Совету депутатов </w:t>
      </w:r>
      <w:proofErr w:type="spellStart"/>
      <w:r w:rsidRPr="004441B6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очередной сессии    рассмотреть и принять проект решения «О бюджете </w:t>
      </w:r>
      <w:proofErr w:type="spellStart"/>
      <w:r w:rsidRPr="004441B6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 год и плановый период 2024-2025 годов»;</w:t>
      </w:r>
    </w:p>
    <w:p w:rsidR="004441B6" w:rsidRPr="004441B6" w:rsidRDefault="004441B6" w:rsidP="004441B6">
      <w:pPr>
        <w:tabs>
          <w:tab w:val="left" w:pos="142"/>
        </w:tabs>
        <w:spacing w:after="0"/>
        <w:ind w:right="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t xml:space="preserve">2. Администрации </w:t>
      </w:r>
      <w:proofErr w:type="spellStart"/>
      <w:r w:rsidRPr="004441B6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области:</w:t>
      </w:r>
    </w:p>
    <w:p w:rsidR="004441B6" w:rsidRPr="004441B6" w:rsidRDefault="004441B6" w:rsidP="004441B6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B6">
        <w:rPr>
          <w:rFonts w:ascii="Times New Roman" w:hAnsi="Times New Roman" w:cs="Times New Roman"/>
          <w:b/>
          <w:sz w:val="28"/>
          <w:szCs w:val="28"/>
        </w:rPr>
        <w:t xml:space="preserve">продолжить реализацию мероприятий, направленных на увеличение налогового потенциала </w:t>
      </w:r>
      <w:proofErr w:type="spellStart"/>
      <w:r w:rsidRPr="004441B6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b/>
          <w:sz w:val="28"/>
          <w:szCs w:val="28"/>
        </w:rPr>
        <w:t xml:space="preserve"> района, эффективность бюджетных расходов и обеспечение сбалансированности местного бюджета.</w:t>
      </w:r>
    </w:p>
    <w:p w:rsidR="004441B6" w:rsidRPr="004441B6" w:rsidRDefault="004441B6" w:rsidP="004441B6">
      <w:pPr>
        <w:pStyle w:val="a5"/>
        <w:ind w:firstLine="0"/>
        <w:jc w:val="both"/>
        <w:rPr>
          <w:b/>
          <w:szCs w:val="28"/>
        </w:rPr>
      </w:pPr>
      <w:r w:rsidRPr="004441B6">
        <w:rPr>
          <w:b/>
          <w:szCs w:val="28"/>
        </w:rPr>
        <w:t>3.Опубликовать  настоящие рекомендации  в газете «</w:t>
      </w:r>
      <w:proofErr w:type="spellStart"/>
      <w:r w:rsidRPr="004441B6">
        <w:rPr>
          <w:b/>
          <w:szCs w:val="28"/>
        </w:rPr>
        <w:t>Барабинский</w:t>
      </w:r>
      <w:proofErr w:type="spellEnd"/>
      <w:r w:rsidRPr="004441B6">
        <w:rPr>
          <w:b/>
          <w:szCs w:val="28"/>
        </w:rPr>
        <w:t xml:space="preserve"> вестник»  и на официальном сайте администрации </w:t>
      </w:r>
      <w:proofErr w:type="spellStart"/>
      <w:r w:rsidRPr="004441B6">
        <w:rPr>
          <w:b/>
          <w:szCs w:val="28"/>
        </w:rPr>
        <w:t>Барабинского</w:t>
      </w:r>
      <w:proofErr w:type="spellEnd"/>
      <w:r w:rsidRPr="004441B6">
        <w:rPr>
          <w:b/>
          <w:szCs w:val="28"/>
        </w:rPr>
        <w:t xml:space="preserve"> района Новосибирской области.</w:t>
      </w:r>
    </w:p>
    <w:p w:rsidR="004441B6" w:rsidRPr="004441B6" w:rsidRDefault="004441B6" w:rsidP="00444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1B6" w:rsidRPr="004441B6" w:rsidRDefault="004441B6" w:rsidP="004441B6">
      <w:pPr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441B6" w:rsidRPr="004441B6" w:rsidRDefault="004441B6" w:rsidP="004441B6">
      <w:pPr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4441B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441B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441B6" w:rsidRPr="004441B6" w:rsidRDefault="004441B6" w:rsidP="004441B6">
      <w:pPr>
        <w:jc w:val="both"/>
        <w:rPr>
          <w:rFonts w:ascii="Times New Roman" w:hAnsi="Times New Roman" w:cs="Times New Roman"/>
          <w:sz w:val="28"/>
          <w:szCs w:val="28"/>
        </w:rPr>
      </w:pPr>
      <w:r w:rsidRPr="004441B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Е.В. Бессонов</w:t>
      </w:r>
    </w:p>
    <w:p w:rsidR="004441B6" w:rsidRPr="004441B6" w:rsidRDefault="004441B6" w:rsidP="004441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71" w:rsidRDefault="00F60A71"/>
    <w:sectPr w:rsidR="00F60A71" w:rsidSect="009C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A43"/>
    <w:multiLevelType w:val="hybridMultilevel"/>
    <w:tmpl w:val="7EFAC650"/>
    <w:lvl w:ilvl="0" w:tplc="DE2A754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9065E42"/>
    <w:multiLevelType w:val="hybridMultilevel"/>
    <w:tmpl w:val="C28AA0FC"/>
    <w:lvl w:ilvl="0" w:tplc="9A0A1CE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1B6"/>
    <w:rsid w:val="004441B6"/>
    <w:rsid w:val="009C333A"/>
    <w:rsid w:val="00C47EF7"/>
    <w:rsid w:val="00F6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3A"/>
  </w:style>
  <w:style w:type="paragraph" w:styleId="1">
    <w:name w:val="heading 1"/>
    <w:basedOn w:val="a"/>
    <w:next w:val="a"/>
    <w:link w:val="10"/>
    <w:uiPriority w:val="99"/>
    <w:qFormat/>
    <w:rsid w:val="00444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441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1B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441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4441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441B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4441B6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41B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4441B6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441B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979</Words>
  <Characters>5586</Characters>
  <Application>Microsoft Office Word</Application>
  <DocSecurity>0</DocSecurity>
  <Lines>46</Lines>
  <Paragraphs>13</Paragraphs>
  <ScaleCrop>false</ScaleCrop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dcterms:created xsi:type="dcterms:W3CDTF">2022-11-29T07:44:00Z</dcterms:created>
  <dcterms:modified xsi:type="dcterms:W3CDTF">2022-11-30T01:22:00Z</dcterms:modified>
</cp:coreProperties>
</file>