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B5" w:rsidRDefault="003E09B5" w:rsidP="003E09B5">
      <w:pPr>
        <w:tabs>
          <w:tab w:val="left" w:pos="142"/>
        </w:tabs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-358140</wp:posOffset>
            </wp:positionV>
            <wp:extent cx="738505" cy="885825"/>
            <wp:effectExtent l="19050" t="0" r="4445" b="0"/>
            <wp:wrapThrough wrapText="bothSides">
              <wp:wrapPolygon edited="0">
                <wp:start x="-557" y="0"/>
                <wp:lineTo x="-557" y="18116"/>
                <wp:lineTo x="4457" y="21368"/>
                <wp:lineTo x="9472" y="21368"/>
                <wp:lineTo x="12258" y="21368"/>
                <wp:lineTo x="16715" y="21368"/>
                <wp:lineTo x="21730" y="18116"/>
                <wp:lineTo x="21730" y="0"/>
                <wp:lineTo x="-55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9B5" w:rsidRDefault="003E09B5" w:rsidP="003E09B5">
      <w:pPr>
        <w:jc w:val="center"/>
        <w:rPr>
          <w:b/>
          <w:sz w:val="28"/>
          <w:szCs w:val="28"/>
        </w:rPr>
      </w:pPr>
    </w:p>
    <w:p w:rsidR="003E09B5" w:rsidRPr="0081240A" w:rsidRDefault="003E09B5" w:rsidP="003E09B5">
      <w:pPr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 xml:space="preserve">МУНИЦИПАЛЬНОЕ ОБРАЗОВАНИЕ </w:t>
      </w:r>
    </w:p>
    <w:p w:rsidR="003E09B5" w:rsidRDefault="003E09B5" w:rsidP="003E09B5">
      <w:pPr>
        <w:jc w:val="center"/>
        <w:rPr>
          <w:b/>
          <w:sz w:val="28"/>
          <w:szCs w:val="28"/>
        </w:rPr>
      </w:pPr>
      <w:r w:rsidRPr="0081240A">
        <w:rPr>
          <w:b/>
          <w:sz w:val="28"/>
          <w:szCs w:val="28"/>
        </w:rPr>
        <w:t>БАРАБИНСКИЙ РАЙОН</w:t>
      </w:r>
      <w:r>
        <w:rPr>
          <w:b/>
          <w:sz w:val="28"/>
          <w:szCs w:val="28"/>
        </w:rPr>
        <w:t xml:space="preserve"> </w:t>
      </w:r>
    </w:p>
    <w:p w:rsidR="003E09B5" w:rsidRPr="0081240A" w:rsidRDefault="003E09B5" w:rsidP="003E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E09B5" w:rsidRPr="0081240A" w:rsidRDefault="003E09B5" w:rsidP="003E09B5">
      <w:pPr>
        <w:jc w:val="center"/>
        <w:rPr>
          <w:sz w:val="28"/>
          <w:szCs w:val="28"/>
        </w:rPr>
      </w:pPr>
      <w:r w:rsidRPr="0081240A">
        <w:rPr>
          <w:b/>
          <w:sz w:val="28"/>
          <w:szCs w:val="28"/>
        </w:rPr>
        <w:t>ПУБЛИЧНЫЕ СЛУШАНИЯ</w:t>
      </w:r>
    </w:p>
    <w:p w:rsidR="003E09B5" w:rsidRPr="00DD122B" w:rsidRDefault="003E09B5" w:rsidP="003E09B5">
      <w:pPr>
        <w:pStyle w:val="1"/>
        <w:rPr>
          <w:b/>
          <w:szCs w:val="28"/>
        </w:rPr>
      </w:pPr>
      <w:r w:rsidRPr="00DD122B">
        <w:rPr>
          <w:b/>
          <w:szCs w:val="28"/>
        </w:rPr>
        <w:t>от  07 декабря 2023 г.</w:t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</w:r>
      <w:r w:rsidRPr="00DD122B">
        <w:rPr>
          <w:b/>
          <w:szCs w:val="28"/>
        </w:rPr>
        <w:tab/>
        <w:t>г. Барабинск</w:t>
      </w:r>
    </w:p>
    <w:p w:rsidR="003E09B5" w:rsidRPr="00DD122B" w:rsidRDefault="003E09B5" w:rsidP="003E0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9B5" w:rsidRPr="00DD122B" w:rsidRDefault="003E09B5" w:rsidP="003E09B5">
      <w:pPr>
        <w:pStyle w:val="2"/>
        <w:rPr>
          <w:b/>
          <w:szCs w:val="28"/>
        </w:rPr>
      </w:pPr>
      <w:r w:rsidRPr="00DD122B">
        <w:rPr>
          <w:b/>
          <w:szCs w:val="28"/>
        </w:rPr>
        <w:t>Рекомендации</w:t>
      </w:r>
    </w:p>
    <w:p w:rsidR="003E09B5" w:rsidRPr="00DD122B" w:rsidRDefault="003E09B5" w:rsidP="003E09B5">
      <w:pPr>
        <w:tabs>
          <w:tab w:val="left" w:pos="142"/>
        </w:tabs>
        <w:ind w:right="252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D122B">
        <w:rPr>
          <w:rFonts w:ascii="Times New Roman" w:hAnsi="Times New Roman" w:cs="Times New Roman"/>
          <w:b/>
          <w:sz w:val="28"/>
          <w:szCs w:val="28"/>
        </w:rPr>
        <w:t xml:space="preserve">по  проекту решения «О бюджете </w:t>
      </w:r>
      <w:proofErr w:type="spellStart"/>
      <w:r w:rsidRPr="00DD122B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DD122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2024 год и плановый период 2025 и 2026 годов»</w:t>
      </w:r>
    </w:p>
    <w:p w:rsidR="00585B5F" w:rsidRDefault="003E09B5" w:rsidP="00585B5F">
      <w:pPr>
        <w:tabs>
          <w:tab w:val="left" w:pos="142"/>
        </w:tabs>
        <w:spacing w:after="0"/>
        <w:ind w:right="252"/>
        <w:jc w:val="both"/>
        <w:rPr>
          <w:rFonts w:ascii="Times New Roman" w:hAnsi="Times New Roman" w:cs="Times New Roman"/>
          <w:sz w:val="28"/>
          <w:szCs w:val="28"/>
        </w:rPr>
      </w:pPr>
      <w:r w:rsidRPr="00DD122B">
        <w:rPr>
          <w:rFonts w:ascii="Times New Roman" w:hAnsi="Times New Roman" w:cs="Times New Roman"/>
          <w:sz w:val="28"/>
          <w:szCs w:val="28"/>
        </w:rPr>
        <w:t xml:space="preserve">                Заслушав и обсудив доклад о проекте решения «О бюджете </w:t>
      </w:r>
      <w:proofErr w:type="spellStart"/>
      <w:r w:rsidRPr="00DD122B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DD122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год и плановый период 2025-2026годы», рассмотрев поступившие предложения, участники публичных </w:t>
      </w:r>
      <w:proofErr w:type="gramStart"/>
      <w:r w:rsidRPr="00DD122B">
        <w:rPr>
          <w:rFonts w:ascii="Times New Roman" w:hAnsi="Times New Roman" w:cs="Times New Roman"/>
          <w:sz w:val="28"/>
          <w:szCs w:val="28"/>
        </w:rPr>
        <w:t>слушаний</w:t>
      </w:r>
      <w:proofErr w:type="gramEnd"/>
      <w:r w:rsidRPr="00DD122B">
        <w:rPr>
          <w:rFonts w:ascii="Times New Roman" w:hAnsi="Times New Roman" w:cs="Times New Roman"/>
          <w:sz w:val="28"/>
          <w:szCs w:val="28"/>
        </w:rPr>
        <w:t xml:space="preserve"> отмечают следующее. </w:t>
      </w:r>
    </w:p>
    <w:p w:rsidR="003E09B5" w:rsidRPr="00DD122B" w:rsidRDefault="00585B5F" w:rsidP="00585B5F">
      <w:pPr>
        <w:tabs>
          <w:tab w:val="left" w:pos="142"/>
        </w:tabs>
        <w:spacing w:after="0"/>
        <w:ind w:right="25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09B5" w:rsidRPr="00DD1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9B5" w:rsidRPr="00DD122B">
        <w:rPr>
          <w:rFonts w:ascii="Times New Roman" w:hAnsi="Times New Roman" w:cs="Times New Roman"/>
          <w:sz w:val="28"/>
          <w:szCs w:val="28"/>
        </w:rPr>
        <w:t xml:space="preserve">Проект решения «О   бюджете </w:t>
      </w:r>
      <w:proofErr w:type="spellStart"/>
      <w:r w:rsidR="003E09B5" w:rsidRPr="00DD122B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3E09B5" w:rsidRPr="00DD122B">
        <w:rPr>
          <w:rFonts w:ascii="Times New Roman" w:hAnsi="Times New Roman" w:cs="Times New Roman"/>
          <w:sz w:val="28"/>
          <w:szCs w:val="28"/>
        </w:rPr>
        <w:t xml:space="preserve"> района  на 2024  год и плановый период 2025 и 2026 годов» подготовлен в соответствии с требованиями Бюджетного кодекса Российской Федерации и Положения «О  бюджетном процессе в Барабинском районе », прогнозом социально-экономического развития  </w:t>
      </w:r>
      <w:proofErr w:type="spellStart"/>
      <w:r w:rsidR="003E09B5" w:rsidRPr="00DD122B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3E09B5" w:rsidRPr="00DD122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год и плановый период 2025 и 2026 годов</w:t>
      </w:r>
      <w:r w:rsidR="003E09B5" w:rsidRPr="00DD1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9B5" w:rsidRPr="00DD122B">
        <w:rPr>
          <w:rFonts w:ascii="Times New Roman" w:hAnsi="Times New Roman" w:cs="Times New Roman"/>
          <w:sz w:val="28"/>
          <w:szCs w:val="28"/>
        </w:rPr>
        <w:t>и основными направлениями бюджетной и налоговой 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09B5" w:rsidRPr="00DD122B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Основной целью налоговой политики </w:t>
      </w:r>
      <w:proofErr w:type="spell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Барабинского</w:t>
      </w:r>
      <w:proofErr w:type="spell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Новосибирской области на 2024</w:t>
      </w:r>
      <w:r w:rsidRPr="00DD122B">
        <w:rPr>
          <w:rFonts w:ascii="Times New Roman" w:hAnsi="Times New Roman" w:cs="Times New Roman"/>
          <w:sz w:val="28"/>
          <w:szCs w:val="28"/>
          <w:lang w:eastAsia="en-US"/>
        </w:rPr>
        <w:noBreakHyphen/>
        <w:t xml:space="preserve">2026 годы, напрямую связанной с проводимой на областном уровне налоговой политикой, является бюджетная устойчивость за счет сохранения и расширения налогового потенциала бюджета и повышения собираемости собственных доходов бюджета </w:t>
      </w:r>
      <w:proofErr w:type="spell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Барабинского</w:t>
      </w:r>
      <w:proofErr w:type="spell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Новосибирской области при одновременной поддержке отдельных категорий налогоплательщиков и граждан.</w:t>
      </w:r>
    </w:p>
    <w:p w:rsidR="003E09B5" w:rsidRPr="00DD122B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Основные направления налоговой политики </w:t>
      </w:r>
      <w:proofErr w:type="spell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Барабинского</w:t>
      </w:r>
      <w:proofErr w:type="spell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Новосибирской области на 2024 год и плановый период 2025 и 2026 годов разработаны с целью подготовки проекта бюджета </w:t>
      </w:r>
      <w:proofErr w:type="spell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Барабинского</w:t>
      </w:r>
      <w:proofErr w:type="spell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Новосибирской области  на очередной финансовый год и плановый </w:t>
      </w:r>
      <w:proofErr w:type="gram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период</w:t>
      </w:r>
      <w:proofErr w:type="gram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исходя из </w:t>
      </w:r>
      <w:r w:rsidRPr="00DD122B">
        <w:rPr>
          <w:rFonts w:ascii="Times New Roman" w:hAnsi="Times New Roman" w:cs="Times New Roman"/>
          <w:sz w:val="28"/>
          <w:szCs w:val="28"/>
        </w:rPr>
        <w:t xml:space="preserve">решений, принятых в 2023 году Президентом Российской </w:t>
      </w:r>
      <w:r w:rsidRPr="00DD122B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с учетом сложившейся экономической ситуации, как в Российской Федерации, Новосибирской области, так и в Барабинском </w:t>
      </w:r>
      <w:proofErr w:type="gramStart"/>
      <w:r w:rsidRPr="00DD122B">
        <w:rPr>
          <w:rFonts w:ascii="Times New Roman" w:hAnsi="Times New Roman" w:cs="Times New Roman"/>
          <w:sz w:val="28"/>
          <w:szCs w:val="28"/>
          <w:lang w:eastAsia="en-US"/>
        </w:rPr>
        <w:t>районе</w:t>
      </w:r>
      <w:proofErr w:type="gramEnd"/>
      <w:r w:rsidRPr="00DD122B">
        <w:rPr>
          <w:rFonts w:ascii="Times New Roman" w:hAnsi="Times New Roman" w:cs="Times New Roman"/>
          <w:sz w:val="28"/>
          <w:szCs w:val="28"/>
          <w:lang w:eastAsia="en-US"/>
        </w:rPr>
        <w:t xml:space="preserve"> Новосибирской области, а также тенденций его развития.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При подготовке проекта бюджета «О бюджете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на 2024 год и плановый период 2025 и 2026 годов» (далее – Решение) за основу </w:t>
      </w:r>
      <w:proofErr w:type="gramStart"/>
      <w:r w:rsidRPr="003E09B5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3E09B5">
        <w:rPr>
          <w:rFonts w:ascii="Times New Roman" w:hAnsi="Times New Roman" w:cs="Times New Roman"/>
          <w:sz w:val="28"/>
          <w:szCs w:val="28"/>
        </w:rPr>
        <w:t>:</w:t>
      </w:r>
      <w:r w:rsidR="00585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бюджетной, налоговой и долговой политики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год и плановый период 2025 и 2026 годов;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основные параметры прогноза социально-экономического развития Новосибирской области на 2024 год и плановый период 2025 и 2026 годов, одобренные Правительством Новосибирской области;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решения Правительства Российской Федерации, Правительства Новосибирской области, принятые согласно Указам Президента Российской Федерации от 7 мая 2012 года;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бюджетное и налоговое законодательство с учетом принятых федеральных законов, предусматривающих внесение изменений и дополнений в налоговое законодательство и вступающих в действие с 1 января 2023 года;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 проект решения «О   бюджете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на 2024 год и плановый период 2025 и 2026 годов» подготовлен в соответствии с требованиями Бюджетного кодекса Российской Федерации и Положения «О бюджетном процессе </w:t>
      </w:r>
      <w:proofErr w:type="gramStart"/>
      <w:r w:rsidRPr="003E0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0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B5">
        <w:rPr>
          <w:rFonts w:ascii="Times New Roman" w:hAnsi="Times New Roman" w:cs="Times New Roman"/>
          <w:sz w:val="28"/>
          <w:szCs w:val="28"/>
        </w:rPr>
        <w:t>Барабинском</w:t>
      </w:r>
      <w:proofErr w:type="gramEnd"/>
      <w:r w:rsidRPr="003E09B5">
        <w:rPr>
          <w:rFonts w:ascii="Times New Roman" w:hAnsi="Times New Roman" w:cs="Times New Roman"/>
          <w:sz w:val="28"/>
          <w:szCs w:val="28"/>
        </w:rPr>
        <w:t xml:space="preserve"> районе», прогнозом социально-экономического развития и основных направлений бюджетной и налоговой политики.</w:t>
      </w:r>
    </w:p>
    <w:p w:rsidR="00585B5F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>Основные параметры бюджета</w:t>
      </w:r>
    </w:p>
    <w:p w:rsidR="00585B5F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>на 2023 год и плановый период 2024-2025 годы.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9B5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по доходам в 2024 году составит 2 605 926,5 тыс. руб., на 2025 год составит в сумме 2 390 774,3 тыс. руб., на 2026 год в сумме 2 327 505,8 тыс. руб.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бюджета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составят на 2024 год в сумме 272 821,8 тыс. руб., на 2025 год в сумме 281 378,1 тыс. руб., на 2026 год в сумме 304 902,7 тыс. руб. 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Основными доходными источниками   являются: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 налог на доходы физических лиц (66,9%);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 транспортный налог (4,8%)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 налоги на совокупный доход (17,3%);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- доходы от оказания платных услуг и компенсации затрат государства </w:t>
      </w:r>
      <w:r w:rsidRPr="003E09B5">
        <w:rPr>
          <w:rFonts w:ascii="Times New Roman" w:hAnsi="Times New Roman" w:cs="Times New Roman"/>
          <w:sz w:val="28"/>
          <w:szCs w:val="28"/>
        </w:rPr>
        <w:lastRenderedPageBreak/>
        <w:t>(2,7%)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Дотация на 2024 год с учетом замены дополнительным нормативом по НДФЛ составит 149 411,3 тыс. руб., на 2025 год в сумме 87 266,5 тыс. руб., на 2026 год в сумме 86 321,0 тыс. руб. 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Субвенции составляют на 2024 год сумму в размере 1 007 798,4 тыс. руб., в 2025 году в размере 1 081 138,2 тыс. руб., на 2026 году в размере 1 080 378,2 </w:t>
      </w:r>
      <w:r w:rsidRPr="003E09B5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Объем субсидий на 2024 год составит в сумме 1 134 136,7</w:t>
      </w:r>
      <w:r w:rsidRPr="003E0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09B5">
        <w:rPr>
          <w:rFonts w:ascii="Times New Roman" w:hAnsi="Times New Roman" w:cs="Times New Roman"/>
          <w:sz w:val="28"/>
          <w:szCs w:val="28"/>
        </w:rPr>
        <w:t>тыс. руб., на 2025 год в сумме 894 861,1 тыс. руб., на 2026 год в сумме 813 173,6 тыс. руб.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9B5">
        <w:rPr>
          <w:rFonts w:ascii="Times New Roman" w:hAnsi="Times New Roman" w:cs="Times New Roman"/>
          <w:bCs/>
          <w:sz w:val="28"/>
          <w:szCs w:val="28"/>
        </w:rPr>
        <w:t>Иные межбюджетные трансферты на 2024 год составят в сумме 41 658,3 тыс. руб., на 2025 год в сумме 46 030,4 тыс. руб., на 2026 год в сумме 42 630,3 тыс. руб.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На первом этапе формирования бюджета 2024 года за основу представлены бюджетные заявки учреждений. Исходя из объема собственных доходов бюджета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района, безвозмездных поступлений из областного бюджета, проведенного анализа  расходных полномочий  муниципального района в 2023 году предусмотрено: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1)  за счет средств местного бюджета на 2023 год: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- фонд оплаты труда с учетом увеличения фонда заработной платы работникам бюджетной сферы в соответствии с Указом Президента РФ от 07.05.2012 № 597 «О мероприятиях по реализации государственной социальной политики», индексация фонда оплаты труда прочего персонала на с 01.08.2023г на 9,7 %, с 01.10.2023г на 7,5 %, 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 уплата в полном объеме налогов  и других  платежей   в бюджеты.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-индексация коммунальных услуг, услуг связи, услуги по обслуживанию программных продуктов на 5,0 % к  расходам 2023 г.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-остальные расходы планировались на уровне 2023г в целях оптимизации, эффективности расходов  и сбалансированности бюджета.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государственных программ Новосибирской области.</w:t>
      </w:r>
    </w:p>
    <w:p w:rsidR="003E09B5" w:rsidRPr="003E09B5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На 2025-2026 годы бюджетные ассигнования сформированы только на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государственных программ, публичные обязательства, на обязательные расходы в части  заработной платы с начислениями, в связи с отсутствием субсидии на сбалансированность бюджетов в бюджете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85B5F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B5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 xml:space="preserve"> района в 2024 году составят в сумме  2 647 690,4 тыс</w:t>
      </w:r>
      <w:proofErr w:type="gramStart"/>
      <w:r w:rsidRPr="003E09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09B5">
        <w:rPr>
          <w:rFonts w:ascii="Times New Roman" w:hAnsi="Times New Roman" w:cs="Times New Roman"/>
          <w:sz w:val="28"/>
          <w:szCs w:val="28"/>
        </w:rPr>
        <w:t xml:space="preserve">ублей, в  2025 году  в сумме 2 429 416,1 </w:t>
      </w:r>
      <w:proofErr w:type="spellStart"/>
      <w:r w:rsidRPr="003E09B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E09B5">
        <w:rPr>
          <w:rFonts w:ascii="Times New Roman" w:hAnsi="Times New Roman" w:cs="Times New Roman"/>
          <w:sz w:val="28"/>
          <w:szCs w:val="28"/>
        </w:rPr>
        <w:t>, в  2026 году в сумме 2 366 147,6 тыс.руб., с дефицитом бюджета в 2024 году в сумме 41 763,9 тыс.рублей, в 2025 году в сумме 38 641,8 тыс.рублей, в 2026 году в сумме 38 641,8 тыс</w:t>
      </w:r>
      <w:proofErr w:type="gramStart"/>
      <w:r w:rsidRPr="003E09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09B5">
        <w:rPr>
          <w:rFonts w:ascii="Times New Roman" w:hAnsi="Times New Roman" w:cs="Times New Roman"/>
          <w:sz w:val="28"/>
          <w:szCs w:val="28"/>
        </w:rPr>
        <w:t>ублей.</w:t>
      </w:r>
    </w:p>
    <w:p w:rsidR="003E09B5" w:rsidRPr="00DD122B" w:rsidRDefault="003E09B5" w:rsidP="00585B5F">
      <w:pPr>
        <w:widowControl w:val="0"/>
        <w:pBdr>
          <w:bottom w:val="single" w:sz="4" w:space="30" w:color="FFFFFF"/>
        </w:pBdr>
        <w:tabs>
          <w:tab w:val="left" w:pos="0"/>
          <w:tab w:val="num" w:pos="786"/>
        </w:tabs>
        <w:spacing w:after="0"/>
        <w:ind w:firstLine="567"/>
        <w:jc w:val="both"/>
        <w:rPr>
          <w:sz w:val="28"/>
          <w:szCs w:val="28"/>
        </w:rPr>
      </w:pPr>
      <w:r w:rsidRPr="00DD122B">
        <w:rPr>
          <w:b/>
          <w:bCs/>
          <w:sz w:val="28"/>
          <w:szCs w:val="28"/>
        </w:rPr>
        <w:lastRenderedPageBreak/>
        <w:t xml:space="preserve">Таким образом, прогноз основных характеристик  проекта бюджета </w:t>
      </w:r>
      <w:proofErr w:type="spellStart"/>
      <w:r w:rsidRPr="00DD122B">
        <w:rPr>
          <w:b/>
          <w:bCs/>
          <w:sz w:val="28"/>
          <w:szCs w:val="28"/>
        </w:rPr>
        <w:t>Барабинского</w:t>
      </w:r>
      <w:proofErr w:type="spellEnd"/>
      <w:r w:rsidRPr="00DD122B">
        <w:rPr>
          <w:b/>
          <w:bCs/>
          <w:sz w:val="28"/>
          <w:szCs w:val="28"/>
        </w:rPr>
        <w:t xml:space="preserve"> района на 2024 год и плановый период 2025 и 2026 годов составит</w:t>
      </w:r>
      <w:r w:rsidRPr="00DD122B">
        <w:rPr>
          <w:sz w:val="28"/>
          <w:szCs w:val="28"/>
        </w:rPr>
        <w:t xml:space="preserve"> </w:t>
      </w:r>
    </w:p>
    <w:p w:rsidR="003E09B5" w:rsidRPr="00DD122B" w:rsidRDefault="003E09B5" w:rsidP="00585B5F">
      <w:pPr>
        <w:pStyle w:val="a3"/>
        <w:ind w:left="-142"/>
        <w:rPr>
          <w:szCs w:val="28"/>
        </w:rPr>
      </w:pPr>
      <w:r w:rsidRPr="00DD122B">
        <w:rPr>
          <w:szCs w:val="28"/>
        </w:rPr>
        <w:t xml:space="preserve">                                                                                                                                  </w:t>
      </w:r>
    </w:p>
    <w:p w:rsidR="003E09B5" w:rsidRPr="00DD122B" w:rsidRDefault="003E09B5" w:rsidP="00585B5F">
      <w:pPr>
        <w:pStyle w:val="a3"/>
        <w:ind w:left="-142"/>
        <w:rPr>
          <w:b w:val="0"/>
          <w:szCs w:val="28"/>
        </w:rPr>
      </w:pPr>
      <w:r w:rsidRPr="00DD122B">
        <w:rPr>
          <w:szCs w:val="28"/>
        </w:rPr>
        <w:t xml:space="preserve">                                                                                         </w:t>
      </w:r>
      <w:r w:rsidRPr="00DD122B">
        <w:rPr>
          <w:b w:val="0"/>
          <w:szCs w:val="28"/>
        </w:rPr>
        <w:t>тыс. руб.</w:t>
      </w:r>
    </w:p>
    <w:tbl>
      <w:tblPr>
        <w:tblW w:w="8960" w:type="dxa"/>
        <w:tblInd w:w="93" w:type="dxa"/>
        <w:tblLook w:val="04A0"/>
      </w:tblPr>
      <w:tblGrid>
        <w:gridCol w:w="3940"/>
        <w:gridCol w:w="1700"/>
        <w:gridCol w:w="1540"/>
        <w:gridCol w:w="1780"/>
      </w:tblGrid>
      <w:tr w:rsidR="003E09B5" w:rsidRPr="00DD122B" w:rsidTr="009840F0">
        <w:trPr>
          <w:trHeight w:val="615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Основные параметры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Проект бюджета</w:t>
            </w:r>
          </w:p>
        </w:tc>
      </w:tr>
      <w:tr w:rsidR="003E09B5" w:rsidRPr="00DD122B" w:rsidTr="009840F0">
        <w:trPr>
          <w:trHeight w:val="30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Доходы всего,</w:t>
            </w:r>
            <w:r w:rsidRPr="00DD122B">
              <w:rPr>
                <w:color w:val="000000"/>
                <w:sz w:val="28"/>
                <w:szCs w:val="28"/>
              </w:rPr>
              <w:t xml:space="preserve">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2 605 926,5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2 390 774,3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2 327 505,8</w:t>
            </w:r>
          </w:p>
        </w:tc>
      </w:tr>
      <w:tr w:rsidR="003E09B5" w:rsidRPr="00DD122B" w:rsidTr="009840F0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налоговые и неналоговые доходы (с учетом передачи дополнительных нормативов)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272 821,8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281 378,1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304 902,7</w:t>
            </w:r>
          </w:p>
        </w:tc>
      </w:tr>
      <w:tr w:rsidR="003E09B5" w:rsidRPr="00DD122B" w:rsidTr="009840F0">
        <w:trPr>
          <w:trHeight w:val="75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Безвозмездные поступления всего,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2 333 104,7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2 109 396,2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2 022 603,1</w:t>
            </w:r>
          </w:p>
        </w:tc>
      </w:tr>
      <w:tr w:rsidR="003E09B5" w:rsidRPr="00DD122B" w:rsidTr="009840F0">
        <w:trPr>
          <w:trHeight w:val="106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2 333 004,7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2 109 296,2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2 022 503,1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149 411,3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87 266,5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86 321,0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Субсидии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1 134 136,7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894 861,1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813 173,6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1 007 798,4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1 081 138,2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1 080 378,2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41 658,3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46 030,4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42 630,3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Расходы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sz w:val="28"/>
                <w:szCs w:val="28"/>
              </w:rPr>
            </w:pPr>
            <w:r w:rsidRPr="00DD122B">
              <w:rPr>
                <w:sz w:val="28"/>
                <w:szCs w:val="28"/>
              </w:rPr>
              <w:t>2 647 690,4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sz w:val="28"/>
                <w:szCs w:val="28"/>
              </w:rPr>
            </w:pPr>
            <w:r w:rsidRPr="00DD122B">
              <w:rPr>
                <w:sz w:val="28"/>
                <w:szCs w:val="28"/>
              </w:rPr>
              <w:t>2 429 416,1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sz w:val="28"/>
                <w:szCs w:val="28"/>
              </w:rPr>
            </w:pPr>
            <w:r w:rsidRPr="00DD122B">
              <w:rPr>
                <w:sz w:val="28"/>
                <w:szCs w:val="28"/>
              </w:rPr>
              <w:t>2 366 147,6</w:t>
            </w:r>
          </w:p>
        </w:tc>
      </w:tr>
      <w:tr w:rsidR="003E09B5" w:rsidRPr="00DD122B" w:rsidTr="009840F0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DD122B">
              <w:rPr>
                <w:b/>
                <w:bCs/>
                <w:color w:val="000000"/>
                <w:sz w:val="28"/>
                <w:szCs w:val="28"/>
              </w:rPr>
              <w:t>Дефицит (+</w:t>
            </w:r>
            <w:proofErr w:type="spellStart"/>
            <w:r w:rsidRPr="00DD122B">
              <w:rPr>
                <w:b/>
                <w:bCs/>
                <w:color w:val="000000"/>
                <w:sz w:val="28"/>
                <w:szCs w:val="28"/>
              </w:rPr>
              <w:t>профицит</w:t>
            </w:r>
            <w:proofErr w:type="spellEnd"/>
            <w:r w:rsidRPr="00DD122B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-41 763,9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-38 641,8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B5" w:rsidRPr="00DD122B" w:rsidRDefault="003E09B5" w:rsidP="00585B5F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 w:rsidRPr="00DD122B">
              <w:rPr>
                <w:color w:val="000000"/>
                <w:sz w:val="28"/>
                <w:szCs w:val="28"/>
              </w:rPr>
              <w:t>-38 641,8</w:t>
            </w:r>
          </w:p>
        </w:tc>
      </w:tr>
      <w:tr w:rsidR="003E09B5" w:rsidRPr="00DD122B" w:rsidTr="009840F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9B5" w:rsidRPr="00DD122B" w:rsidRDefault="003E09B5" w:rsidP="00585B5F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</w:tbl>
    <w:p w:rsidR="003E09B5" w:rsidRDefault="003E09B5" w:rsidP="00585B5F">
      <w:pPr>
        <w:tabs>
          <w:tab w:val="left" w:pos="142"/>
        </w:tabs>
        <w:spacing w:after="0"/>
        <w:ind w:right="252"/>
        <w:jc w:val="both"/>
        <w:rPr>
          <w:b/>
          <w:sz w:val="28"/>
          <w:szCs w:val="28"/>
        </w:rPr>
      </w:pPr>
    </w:p>
    <w:p w:rsidR="00585B5F" w:rsidRDefault="00585B5F" w:rsidP="00585B5F">
      <w:pPr>
        <w:tabs>
          <w:tab w:val="left" w:pos="142"/>
        </w:tabs>
        <w:spacing w:after="0"/>
        <w:ind w:right="252"/>
        <w:jc w:val="both"/>
        <w:rPr>
          <w:b/>
          <w:sz w:val="28"/>
          <w:szCs w:val="28"/>
        </w:rPr>
      </w:pPr>
    </w:p>
    <w:p w:rsidR="00585B5F" w:rsidRDefault="00585B5F" w:rsidP="00585B5F">
      <w:pPr>
        <w:tabs>
          <w:tab w:val="left" w:pos="142"/>
        </w:tabs>
        <w:spacing w:after="0"/>
        <w:ind w:right="252"/>
        <w:jc w:val="both"/>
        <w:rPr>
          <w:b/>
          <w:sz w:val="28"/>
          <w:szCs w:val="28"/>
        </w:rPr>
      </w:pPr>
    </w:p>
    <w:p w:rsidR="00585B5F" w:rsidRDefault="00585B5F" w:rsidP="00585B5F">
      <w:pPr>
        <w:tabs>
          <w:tab w:val="left" w:pos="142"/>
        </w:tabs>
        <w:spacing w:after="0"/>
        <w:ind w:right="252"/>
        <w:jc w:val="both"/>
        <w:rPr>
          <w:b/>
          <w:sz w:val="28"/>
          <w:szCs w:val="28"/>
        </w:rPr>
      </w:pPr>
    </w:p>
    <w:p w:rsidR="003E09B5" w:rsidRPr="003E09B5" w:rsidRDefault="003E09B5" w:rsidP="00585B5F">
      <w:pPr>
        <w:tabs>
          <w:tab w:val="left" w:pos="142"/>
        </w:tabs>
        <w:spacing w:after="0"/>
        <w:ind w:right="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По итогам обсуждения проекта бюджета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2024 год и плановый период 2025-2026 годов, участники публичных слушаний рекомендуют:</w:t>
      </w:r>
    </w:p>
    <w:p w:rsidR="003E09B5" w:rsidRPr="003E09B5" w:rsidRDefault="003E09B5" w:rsidP="00585B5F">
      <w:pPr>
        <w:tabs>
          <w:tab w:val="left" w:pos="142"/>
        </w:tabs>
        <w:spacing w:after="0"/>
        <w:ind w:right="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1. Совету депутатов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очередной сессии    рассмотреть и принять проект решения «О бюджете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на 2024 год и плановый период 2025-2026 годов»;</w:t>
      </w:r>
    </w:p>
    <w:p w:rsidR="003E09B5" w:rsidRPr="003E09B5" w:rsidRDefault="003E09B5" w:rsidP="00585B5F">
      <w:pPr>
        <w:tabs>
          <w:tab w:val="left" w:pos="142"/>
        </w:tabs>
        <w:spacing w:after="0"/>
        <w:ind w:right="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2. Администрации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области:</w:t>
      </w:r>
    </w:p>
    <w:p w:rsidR="003E09B5" w:rsidRPr="003E09B5" w:rsidRDefault="003E09B5" w:rsidP="00585B5F">
      <w:pPr>
        <w:numPr>
          <w:ilvl w:val="1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продолжить реализацию мероприятий, направленных на увеличение налогового потенциала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района, эффективность бюджетных расходов и обеспечение сбалансированности местного бюджета.</w:t>
      </w:r>
    </w:p>
    <w:p w:rsidR="003E09B5" w:rsidRPr="003E09B5" w:rsidRDefault="003E09B5" w:rsidP="00585B5F">
      <w:pPr>
        <w:pStyle w:val="a5"/>
        <w:ind w:firstLine="0"/>
        <w:jc w:val="both"/>
        <w:rPr>
          <w:b/>
          <w:szCs w:val="28"/>
        </w:rPr>
      </w:pPr>
      <w:r w:rsidRPr="003E09B5">
        <w:rPr>
          <w:b/>
          <w:szCs w:val="28"/>
        </w:rPr>
        <w:t>3.Опубликовать  настоящие рекомендации  в газете «</w:t>
      </w:r>
      <w:proofErr w:type="spellStart"/>
      <w:r w:rsidRPr="003E09B5">
        <w:rPr>
          <w:b/>
          <w:szCs w:val="28"/>
        </w:rPr>
        <w:t>Барабинский</w:t>
      </w:r>
      <w:proofErr w:type="spellEnd"/>
      <w:r w:rsidRPr="003E09B5">
        <w:rPr>
          <w:b/>
          <w:szCs w:val="28"/>
        </w:rPr>
        <w:t xml:space="preserve"> вестник»  и на официальном сайте администрации </w:t>
      </w:r>
      <w:proofErr w:type="spellStart"/>
      <w:r w:rsidRPr="003E09B5">
        <w:rPr>
          <w:b/>
          <w:szCs w:val="28"/>
        </w:rPr>
        <w:t>Барабинского</w:t>
      </w:r>
      <w:proofErr w:type="spellEnd"/>
      <w:r w:rsidRPr="003E09B5">
        <w:rPr>
          <w:b/>
          <w:szCs w:val="28"/>
        </w:rPr>
        <w:t xml:space="preserve"> района Новосибирской области.</w:t>
      </w:r>
    </w:p>
    <w:p w:rsidR="003E09B5" w:rsidRPr="003E09B5" w:rsidRDefault="003E09B5" w:rsidP="00585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9B5" w:rsidRPr="003E09B5" w:rsidRDefault="003E09B5" w:rsidP="00585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9B5" w:rsidRPr="003E09B5" w:rsidRDefault="003E09B5" w:rsidP="00585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3E09B5" w:rsidRPr="003E09B5" w:rsidRDefault="003E09B5" w:rsidP="00585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3E09B5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3E09B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E09B5" w:rsidRPr="003E09B5" w:rsidRDefault="003E09B5" w:rsidP="00585B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9B5">
        <w:rPr>
          <w:rFonts w:ascii="Times New Roman" w:hAnsi="Times New Roman" w:cs="Times New Roman"/>
          <w:b/>
          <w:sz w:val="28"/>
          <w:szCs w:val="28"/>
        </w:rPr>
        <w:t>Новосибирской области                                                                 Е.В. Бессонов</w:t>
      </w:r>
    </w:p>
    <w:p w:rsidR="003E09B5" w:rsidRPr="008F4314" w:rsidRDefault="003E09B5" w:rsidP="00585B5F">
      <w:pPr>
        <w:spacing w:after="0"/>
        <w:rPr>
          <w:b/>
          <w:sz w:val="28"/>
          <w:szCs w:val="28"/>
        </w:rPr>
      </w:pPr>
    </w:p>
    <w:p w:rsidR="004441B6" w:rsidRPr="004441B6" w:rsidRDefault="004441B6" w:rsidP="00585B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A71" w:rsidRDefault="00F60A71" w:rsidP="00585B5F">
      <w:pPr>
        <w:spacing w:after="0"/>
      </w:pPr>
    </w:p>
    <w:sectPr w:rsidR="00F60A71" w:rsidSect="009C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A43"/>
    <w:multiLevelType w:val="hybridMultilevel"/>
    <w:tmpl w:val="7EFAC650"/>
    <w:lvl w:ilvl="0" w:tplc="DE2A754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9065E42"/>
    <w:multiLevelType w:val="hybridMultilevel"/>
    <w:tmpl w:val="C28AA0FC"/>
    <w:lvl w:ilvl="0" w:tplc="9A0A1CE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1B6"/>
    <w:rsid w:val="00074D88"/>
    <w:rsid w:val="003E09B5"/>
    <w:rsid w:val="004441B6"/>
    <w:rsid w:val="00516BE4"/>
    <w:rsid w:val="00585B5F"/>
    <w:rsid w:val="009C333A"/>
    <w:rsid w:val="00C47EF7"/>
    <w:rsid w:val="00F6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3A"/>
  </w:style>
  <w:style w:type="paragraph" w:styleId="1">
    <w:name w:val="heading 1"/>
    <w:basedOn w:val="a"/>
    <w:next w:val="a"/>
    <w:link w:val="10"/>
    <w:uiPriority w:val="99"/>
    <w:qFormat/>
    <w:rsid w:val="004441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441B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41B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441B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uiPriority w:val="99"/>
    <w:qFormat/>
    <w:rsid w:val="004441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4441B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4441B6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41B6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rsid w:val="004441B6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441B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1225</Words>
  <Characters>6988</Characters>
  <Application>Microsoft Office Word</Application>
  <DocSecurity>0</DocSecurity>
  <Lines>58</Lines>
  <Paragraphs>16</Paragraphs>
  <ScaleCrop>false</ScaleCrop>
  <Company>Microsoft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7</cp:revision>
  <cp:lastPrinted>2023-11-28T02:33:00Z</cp:lastPrinted>
  <dcterms:created xsi:type="dcterms:W3CDTF">2022-11-29T07:44:00Z</dcterms:created>
  <dcterms:modified xsi:type="dcterms:W3CDTF">2023-11-28T02:34:00Z</dcterms:modified>
</cp:coreProperties>
</file>