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4"/>
          <w:shd w:fill="auto" w:val="clear"/>
        </w:rPr>
      </w:pPr>
      <w:r>
        <w:object w:dxaOrig="996" w:dyaOrig="851">
          <v:rect xmlns:o="urn:schemas-microsoft-com:office:office" xmlns:v="urn:schemas-microsoft-com:vml" id="rectole0000000000" style="width:49.800000pt;height:42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Новости на сайт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Как распорядиться материнским капиталом новосибирцы планируют заранее</w:t>
      </w:r>
    </w:p>
    <w:p>
      <w:pPr>
        <w:suppressAutoHyphens w:val="true"/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В июле органами ПФР Новосибирской области был проведен соцопрос граждан, в семьях которых появился второй ребенок и которые обратились за сертификатом на материнский (семейный) капитал в клиентские службы Пенсионного фонда. Предмет опроса: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На какие цели вы планируете направить средства материнского капитала?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»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 опросе приняли участие 740 человек. Результаты опроса показали, что большая часть респонтентов – почти 80% - планирую направить материнский капитал на улучшение жилищных условий, в том числе на улучшение жилищных условий по программе льготного кредитования (под 6%). Направление средств МСК на улучшение жилищных условий - одно из самых востребованных направлений расходования средств капитала, по факту на эти цели средства направили еще большее число новосибирских семей из числа распорядившихся материнским капиталом- более 90%.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 этом опрос показал, что выросло число семей, которые планируют получить часть средств материнского капитала в виде ежемесячных выплат. Об этом сообщили 16,6% опрошенных. Напомним, что такая возможность появилась у семей с прошлого года и касается она семей с невысоким доходом, в которых второй (именно второй) ребенок появился в период с 1 января 2018 года. </w:t>
      </w:r>
    </w:p>
    <w:p>
      <w:pPr>
        <w:suppressAutoHyphens w:val="true"/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  <w:t xml:space="preserve">Подать заявление на установлении ежемесячной выплаты из средств МСК можно как в клиентской службе ПФР, так и через филиалы МФЦ. Наиболее удобный способ – подать заявление в электронном виде через Личный кабинет на сайте ПФР. В этом случае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необходимо в течение 5 рабочих дней обратиться в территориальный орган ПФР, куда было направлено электронное заявление, и представить документы личного хранения. О цели своего визита следует сообщить администратору клиентской службы.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Размер выплаты в нашем регионе составляет в 2019 году 11 358 рублей. Он равен прожиточному минимуму ребенка, установленного за второй квартал прошлого года в Новосибирской области.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Кстати, оставшуюся сумму капитала семья может направить на любое из предусмотренных Законом направлений.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ab/>
      </w: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